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15" w:firstLineChars="49"/>
        <w:jc w:val="center"/>
        <w:rPr>
          <w:rFonts w:hint="eastAsia" w:ascii="方正小标宋简体" w:hAnsi="黑体" w:eastAsia="方正小标宋简体"/>
          <w:color w:val="FFFFFF" w:themeColor="background1"/>
          <w:sz w:val="44"/>
          <w:szCs w:val="44"/>
          <w14:textFill>
            <w14:solidFill>
              <w14:schemeClr w14:val="bg1"/>
            </w14:solidFill>
          </w14:textFill>
        </w:rPr>
      </w:pPr>
      <w:bookmarkStart w:id="0" w:name="_Toc361131430"/>
    </w:p>
    <w:p>
      <w:pPr>
        <w:spacing w:line="540" w:lineRule="exact"/>
        <w:ind w:firstLine="215" w:firstLineChars="49"/>
        <w:jc w:val="center"/>
        <w:rPr>
          <w:rFonts w:ascii="方正小标宋简体" w:hAnsi="黑体" w:eastAsia="方正小标宋简体"/>
          <w:sz w:val="44"/>
          <w:szCs w:val="44"/>
        </w:rPr>
      </w:pPr>
    </w:p>
    <w:p>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pPr>
        <w:spacing w:line="540" w:lineRule="exact"/>
        <w:ind w:firstLine="254" w:firstLineChars="49"/>
        <w:jc w:val="center"/>
        <w:rPr>
          <w:rFonts w:ascii="方正小标宋简体" w:hAnsi="黑体" w:eastAsia="方正小标宋简体"/>
          <w:sz w:val="52"/>
          <w:szCs w:val="52"/>
        </w:rPr>
      </w:pPr>
    </w:p>
    <w:p>
      <w:pPr>
        <w:spacing w:line="540" w:lineRule="exact"/>
        <w:ind w:firstLine="254" w:firstLineChars="49"/>
        <w:jc w:val="center"/>
        <w:rPr>
          <w:rFonts w:ascii="方正小标宋简体" w:hAnsi="黑体" w:eastAsia="方正小标宋简体"/>
          <w:sz w:val="52"/>
          <w:szCs w:val="52"/>
        </w:rPr>
      </w:pPr>
      <w:r>
        <w:rPr>
          <w:rFonts w:hint="eastAsia" w:ascii="方正小标宋简体" w:hAnsi="仿宋" w:eastAsia="方正小标宋简体"/>
          <w:sz w:val="52"/>
          <w:szCs w:val="52"/>
        </w:rPr>
        <w:t>询价文件</w:t>
      </w: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bookmarkEnd w:id="0"/>
    <w:p>
      <w:pPr>
        <w:spacing w:line="540" w:lineRule="exact"/>
        <w:jc w:val="center"/>
        <w:outlineLvl w:val="0"/>
        <w:rPr>
          <w:rFonts w:ascii="方正小标宋简体" w:hAnsi="仿宋" w:eastAsia="方正小标宋简体"/>
          <w:sz w:val="44"/>
          <w:szCs w:val="44"/>
        </w:rPr>
      </w:pPr>
    </w:p>
    <w:p>
      <w:pPr>
        <w:spacing w:line="540" w:lineRule="exact"/>
        <w:ind w:firstLine="1280" w:firstLineChars="400"/>
        <w:jc w:val="left"/>
        <w:outlineLvl w:val="0"/>
        <w:rPr>
          <w:rFonts w:ascii="黑体" w:hAnsi="黑体" w:eastAsia="黑体"/>
          <w:sz w:val="32"/>
          <w:szCs w:val="32"/>
        </w:rPr>
      </w:pPr>
      <w:r>
        <w:rPr>
          <w:rFonts w:hint="eastAsia" w:ascii="黑体" w:hAnsi="黑体" w:eastAsia="黑体"/>
          <w:sz w:val="32"/>
          <w:szCs w:val="32"/>
        </w:rPr>
        <w:t>项目编号：20230912</w:t>
      </w:r>
    </w:p>
    <w:p>
      <w:pPr>
        <w:spacing w:line="540" w:lineRule="exact"/>
        <w:ind w:firstLine="1276" w:firstLineChars="399"/>
        <w:jc w:val="left"/>
        <w:rPr>
          <w:rFonts w:ascii="黑体" w:hAnsi="黑体" w:eastAsia="黑体"/>
          <w:sz w:val="32"/>
          <w:szCs w:val="32"/>
        </w:rPr>
      </w:pPr>
      <w:r>
        <w:rPr>
          <w:rFonts w:hint="eastAsia" w:ascii="黑体" w:hAnsi="黑体" w:eastAsia="黑体"/>
          <w:sz w:val="32"/>
          <w:szCs w:val="32"/>
        </w:rPr>
        <w:t>项目名称：学校室外移动音响设备采购项目</w:t>
      </w:r>
    </w:p>
    <w:p>
      <w:pPr>
        <w:spacing w:line="540" w:lineRule="exact"/>
        <w:ind w:firstLine="1280" w:firstLineChars="400"/>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pPr>
        <w:spacing w:line="540" w:lineRule="exact"/>
        <w:jc w:val="center"/>
        <w:outlineLvl w:val="0"/>
        <w:rPr>
          <w:rFonts w:ascii="黑体" w:hAnsi="黑体" w:eastAsia="黑体"/>
          <w:sz w:val="32"/>
          <w:szCs w:val="3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w:t>
      </w:r>
      <w:r>
        <w:rPr>
          <w:rFonts w:hint="eastAsia" w:ascii="仿宋_GB2312" w:hAnsi="仿宋" w:eastAsia="仿宋_GB2312" w:cs="仿宋_GB2312"/>
          <w:sz w:val="32"/>
        </w:rPr>
        <w:t>二</w:t>
      </w:r>
      <w:r>
        <w:rPr>
          <w:rFonts w:hint="eastAsia" w:ascii="仿宋_GB2312" w:hAnsi="仿宋" w:eastAsia="仿宋" w:cs="宋体"/>
          <w:sz w:val="32"/>
        </w:rPr>
        <w:t>三</w:t>
      </w:r>
      <w:r>
        <w:rPr>
          <w:rFonts w:hint="eastAsia" w:ascii="仿宋_GB2312" w:hAnsi="仿宋" w:eastAsia="仿宋_GB2312" w:cs="仿宋_GB2312"/>
          <w:sz w:val="32"/>
        </w:rPr>
        <w:t>年九月</w:t>
      </w:r>
    </w:p>
    <w:p>
      <w:pPr>
        <w:spacing w:line="540" w:lineRule="exact"/>
        <w:ind w:left="540" w:leftChars="257" w:firstLine="2512" w:firstLineChars="785"/>
        <w:rPr>
          <w:rFonts w:ascii="仿宋_GB2312" w:hAnsi="仿宋" w:eastAsia="仿宋_GB2312"/>
          <w:sz w:val="32"/>
        </w:rPr>
      </w:pPr>
    </w:p>
    <w:p>
      <w:pPr>
        <w:spacing w:line="540" w:lineRule="exact"/>
        <w:rPr>
          <w:rFonts w:ascii="仿宋_GB2312" w:hAnsi="仿宋" w:eastAsia="仿宋_GB2312"/>
          <w:sz w:val="32"/>
        </w:rPr>
      </w:pPr>
    </w:p>
    <w:p/>
    <w:p>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第一篇  投标邀请书</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根据重庆市政府采购及市经信委和学校相关文件规定,经学校研究决定：拟对学校室外移动音响设备采购项目采购项目进行公开询价，欢迎合格供应商参与投标。</w:t>
      </w:r>
    </w:p>
    <w:p>
      <w:pPr>
        <w:spacing w:line="540" w:lineRule="exact"/>
        <w:ind w:firstLine="562" w:firstLineChars="200"/>
        <w:rPr>
          <w:rFonts w:cs="宋体" w:asciiTheme="minorEastAsia" w:hAnsiTheme="minorEastAsia" w:eastAsiaTheme="minorEastAsia"/>
          <w:b/>
          <w:kern w:val="0"/>
          <w:sz w:val="28"/>
          <w:szCs w:val="28"/>
        </w:rPr>
      </w:pPr>
      <w:bookmarkStart w:id="1" w:name="_Toc361131437"/>
      <w:r>
        <w:rPr>
          <w:rFonts w:hint="eastAsia" w:cs="宋体" w:asciiTheme="minorEastAsia" w:hAnsiTheme="minorEastAsia" w:eastAsiaTheme="minorEastAsia"/>
          <w:b/>
          <w:kern w:val="0"/>
          <w:sz w:val="28"/>
          <w:szCs w:val="28"/>
        </w:rPr>
        <w:t>一、招标项目内容、数量及最高限价</w:t>
      </w:r>
      <w:bookmarkEnd w:id="1"/>
    </w:p>
    <w:tbl>
      <w:tblPr>
        <w:tblStyle w:val="1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72"/>
        <w:gridCol w:w="1134"/>
        <w:gridCol w:w="1559"/>
        <w:gridCol w:w="1701"/>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05" w:type="dxa"/>
            <w:vAlign w:val="center"/>
          </w:tcPr>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1872" w:type="dxa"/>
            <w:vAlign w:val="center"/>
          </w:tcPr>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 称</w:t>
            </w:r>
          </w:p>
        </w:tc>
        <w:tc>
          <w:tcPr>
            <w:tcW w:w="1134" w:type="dxa"/>
            <w:vAlign w:val="center"/>
          </w:tcPr>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 量</w:t>
            </w:r>
          </w:p>
        </w:tc>
        <w:tc>
          <w:tcPr>
            <w:tcW w:w="1559" w:type="dxa"/>
            <w:vAlign w:val="center"/>
          </w:tcPr>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最高限价</w:t>
            </w:r>
          </w:p>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（元/套）</w:t>
            </w:r>
          </w:p>
        </w:tc>
        <w:tc>
          <w:tcPr>
            <w:tcW w:w="1701" w:type="dxa"/>
            <w:vAlign w:val="center"/>
          </w:tcPr>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投标保证金</w:t>
            </w:r>
          </w:p>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（元）</w:t>
            </w:r>
          </w:p>
        </w:tc>
        <w:tc>
          <w:tcPr>
            <w:tcW w:w="1668" w:type="dxa"/>
            <w:vAlign w:val="center"/>
          </w:tcPr>
          <w:p>
            <w:pPr>
              <w:pStyle w:val="5"/>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3" w:hRule="atLeast"/>
          <w:jc w:val="center"/>
        </w:trPr>
        <w:tc>
          <w:tcPr>
            <w:tcW w:w="705" w:type="dxa"/>
            <w:vAlign w:val="center"/>
          </w:tcPr>
          <w:p>
            <w:pPr>
              <w:snapToGrid w:val="0"/>
              <w:spacing w:line="48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1872" w:type="dxa"/>
            <w:vAlign w:val="center"/>
          </w:tcPr>
          <w:p>
            <w:pPr>
              <w:snapToGrid w:val="0"/>
              <w:spacing w:line="48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学校室外移动音响设备采购项目</w:t>
            </w:r>
          </w:p>
        </w:tc>
        <w:tc>
          <w:tcPr>
            <w:tcW w:w="1134" w:type="dxa"/>
            <w:vAlign w:val="center"/>
          </w:tcPr>
          <w:p>
            <w:pPr>
              <w:snapToGrid w:val="0"/>
              <w:spacing w:line="48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1套</w:t>
            </w:r>
          </w:p>
        </w:tc>
        <w:tc>
          <w:tcPr>
            <w:tcW w:w="1559" w:type="dxa"/>
            <w:vAlign w:val="center"/>
          </w:tcPr>
          <w:p>
            <w:pPr>
              <w:snapToGrid w:val="0"/>
              <w:spacing w:line="480" w:lineRule="exact"/>
              <w:jc w:val="center"/>
              <w:rPr>
                <w:rFonts w:cs="宋体" w:asciiTheme="minorEastAsia" w:hAnsiTheme="minorEastAsia"/>
                <w:kern w:val="0"/>
                <w:sz w:val="28"/>
                <w:szCs w:val="28"/>
              </w:rPr>
            </w:pPr>
            <w:r>
              <w:rPr>
                <w:rFonts w:hint="eastAsia" w:ascii="宋体" w:hAnsi="宋体" w:cs="黑体"/>
                <w:color w:val="000000" w:themeColor="text1"/>
                <w:sz w:val="28"/>
                <w:szCs w:val="28"/>
              </w:rPr>
              <w:t>99900</w:t>
            </w:r>
          </w:p>
        </w:tc>
        <w:tc>
          <w:tcPr>
            <w:tcW w:w="1701" w:type="dxa"/>
            <w:vAlign w:val="center"/>
          </w:tcPr>
          <w:p>
            <w:pPr>
              <w:snapToGrid w:val="0"/>
              <w:spacing w:line="48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1800</w:t>
            </w:r>
          </w:p>
        </w:tc>
        <w:tc>
          <w:tcPr>
            <w:tcW w:w="1668" w:type="dxa"/>
            <w:vAlign w:val="center"/>
          </w:tcPr>
          <w:p>
            <w:pPr>
              <w:snapToGrid w:val="0"/>
              <w:spacing w:line="480" w:lineRule="exact"/>
              <w:jc w:val="center"/>
              <w:rPr>
                <w:rFonts w:cs="宋体" w:asciiTheme="minorEastAsia" w:hAnsiTheme="minorEastAsia" w:eastAsiaTheme="minorEastAsia"/>
                <w:kern w:val="0"/>
                <w:sz w:val="28"/>
                <w:szCs w:val="28"/>
              </w:rPr>
            </w:pPr>
          </w:p>
        </w:tc>
      </w:tr>
    </w:tbl>
    <w:p>
      <w:pPr>
        <w:spacing w:line="540" w:lineRule="exact"/>
        <w:ind w:firstLine="562" w:firstLineChars="200"/>
        <w:rPr>
          <w:rFonts w:cs="宋体" w:asciiTheme="minorEastAsia" w:hAnsiTheme="minorEastAsia" w:eastAsiaTheme="minorEastAsia"/>
          <w:b/>
          <w:kern w:val="0"/>
          <w:sz w:val="28"/>
          <w:szCs w:val="28"/>
        </w:rPr>
      </w:pPr>
      <w:bookmarkStart w:id="2" w:name="_Toc361131438"/>
      <w:r>
        <w:rPr>
          <w:rFonts w:hint="eastAsia" w:cs="宋体" w:asciiTheme="minorEastAsia" w:hAnsiTheme="minorEastAsia" w:eastAsiaTheme="minorEastAsia"/>
          <w:b/>
          <w:kern w:val="0"/>
          <w:sz w:val="28"/>
          <w:szCs w:val="28"/>
        </w:rPr>
        <w:t>二、资金来源</w:t>
      </w:r>
      <w:bookmarkEnd w:id="2"/>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bookmarkStart w:id="3" w:name="_Toc361131439"/>
    </w:p>
    <w:bookmarkEnd w:id="3"/>
    <w:p>
      <w:pPr>
        <w:spacing w:line="540" w:lineRule="exact"/>
        <w:ind w:firstLine="551" w:firstLineChars="196"/>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三、项目地点及招投标时间</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（一）项目地点：重庆铁路运输高级技工学校</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（二）报名时间：2023年9月18-20日（工作日9：00-17：00）。</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（三）投标时间：2023年9月20日11:00至11:30。</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（四）投标地点：重庆铁路运输高级技工学校（张家湾校区）招生办2楼会议室。</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（五）开标时间：2023年9月20日11:30。</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（六）开标地点：重庆铁路运输高级技工学校（张家湾校区）招生办2楼会议室。</w:t>
      </w:r>
    </w:p>
    <w:p>
      <w:pPr>
        <w:spacing w:line="540" w:lineRule="exact"/>
        <w:ind w:firstLine="66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三、技术参数</w:t>
      </w:r>
    </w:p>
    <w:tbl>
      <w:tblPr>
        <w:tblStyle w:val="11"/>
        <w:tblW w:w="7247" w:type="dxa"/>
        <w:tblInd w:w="103" w:type="dxa"/>
        <w:tblLayout w:type="autofit"/>
        <w:tblCellMar>
          <w:top w:w="0" w:type="dxa"/>
          <w:left w:w="108" w:type="dxa"/>
          <w:bottom w:w="0" w:type="dxa"/>
          <w:right w:w="108" w:type="dxa"/>
        </w:tblCellMar>
      </w:tblPr>
      <w:tblGrid>
        <w:gridCol w:w="532"/>
        <w:gridCol w:w="793"/>
        <w:gridCol w:w="4361"/>
        <w:gridCol w:w="709"/>
        <w:gridCol w:w="852"/>
      </w:tblGrid>
      <w:tr>
        <w:tblPrEx>
          <w:tblCellMar>
            <w:top w:w="0" w:type="dxa"/>
            <w:left w:w="108" w:type="dxa"/>
            <w:bottom w:w="0" w:type="dxa"/>
            <w:right w:w="108" w:type="dxa"/>
          </w:tblCellMar>
        </w:tblPrEx>
        <w:trPr>
          <w:trHeight w:val="882" w:hRule="atLeast"/>
        </w:trPr>
        <w:tc>
          <w:tcPr>
            <w:tcW w:w="532" w:type="dxa"/>
            <w:tcBorders>
              <w:top w:val="single" w:color="000000" w:sz="4" w:space="0"/>
              <w:left w:val="single" w:color="000000" w:sz="4" w:space="0"/>
              <w:bottom w:val="single" w:color="000000" w:sz="4" w:space="0"/>
              <w:right w:val="single" w:color="000000" w:sz="4" w:space="0"/>
            </w:tcBorders>
            <w:shd w:val="clear" w:color="000000" w:fill="BDD6EE"/>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序号</w:t>
            </w:r>
          </w:p>
        </w:tc>
        <w:tc>
          <w:tcPr>
            <w:tcW w:w="793" w:type="dxa"/>
            <w:tcBorders>
              <w:top w:val="single" w:color="000000" w:sz="4" w:space="0"/>
              <w:left w:val="nil"/>
              <w:bottom w:val="single" w:color="000000" w:sz="4" w:space="0"/>
              <w:right w:val="single" w:color="000000" w:sz="4" w:space="0"/>
            </w:tcBorders>
            <w:shd w:val="clear" w:color="000000" w:fill="BDD6EE"/>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设备名称</w:t>
            </w:r>
          </w:p>
        </w:tc>
        <w:tc>
          <w:tcPr>
            <w:tcW w:w="4361" w:type="dxa"/>
            <w:tcBorders>
              <w:top w:val="single" w:color="000000" w:sz="4" w:space="0"/>
              <w:left w:val="nil"/>
              <w:bottom w:val="single" w:color="000000" w:sz="4" w:space="0"/>
              <w:right w:val="single" w:color="000000" w:sz="4" w:space="0"/>
            </w:tcBorders>
            <w:shd w:val="clear" w:color="000000" w:fill="BDD6EE"/>
            <w:noWrap/>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              参数</w:t>
            </w:r>
          </w:p>
        </w:tc>
        <w:tc>
          <w:tcPr>
            <w:tcW w:w="709" w:type="dxa"/>
            <w:tcBorders>
              <w:top w:val="single" w:color="000000" w:sz="4" w:space="0"/>
              <w:left w:val="nil"/>
              <w:bottom w:val="single" w:color="000000" w:sz="4" w:space="0"/>
              <w:right w:val="single" w:color="000000" w:sz="4" w:space="0"/>
            </w:tcBorders>
            <w:shd w:val="clear" w:color="000000" w:fill="BDD6EE"/>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单位</w:t>
            </w:r>
          </w:p>
        </w:tc>
        <w:tc>
          <w:tcPr>
            <w:tcW w:w="852" w:type="dxa"/>
            <w:tcBorders>
              <w:top w:val="single" w:color="000000" w:sz="4" w:space="0"/>
              <w:left w:val="nil"/>
              <w:bottom w:val="single" w:color="000000" w:sz="4" w:space="0"/>
              <w:right w:val="single" w:color="000000" w:sz="4" w:space="0"/>
            </w:tcBorders>
            <w:shd w:val="clear" w:color="000000" w:fill="BDD6EE"/>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数量</w:t>
            </w:r>
          </w:p>
        </w:tc>
      </w:tr>
      <w:tr>
        <w:tblPrEx>
          <w:tblCellMar>
            <w:top w:w="0" w:type="dxa"/>
            <w:left w:w="108" w:type="dxa"/>
            <w:bottom w:w="0" w:type="dxa"/>
            <w:right w:w="108" w:type="dxa"/>
          </w:tblCellMar>
        </w:tblPrEx>
        <w:trPr>
          <w:trHeight w:val="4920"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单10寸全频线阵</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频率响应：（±3DB） 53HZ—19KHZ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频率响应：（-10DB） 43HZ—19KHZ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低音驱动： 1×10〞（260mm）3〞(75mm)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高音驱动 1×1.74〞（44mm）钕磁</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额定功率： 350W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连续额定功率： 700W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峰值功率： 1400W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灵敏度：（1W/1M） 103DB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最大声压级： 130DB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阻抗： 8Ω</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方向角： 120°× 10°</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产品尺寸：（W×H×D） 533×300×371MM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包装尺寸：（W×H×D） 625×400×445MM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重量： 19KG</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▲所投产品具备带有“扬声器管理软件”等类似字样的由国家版权局颁发的软件著作权证书，提供复印件并加盖生产厂家公章。</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▲所投产品应提供“一种数字化扩声系统及方法”技术证明材料扫描件并加盖生产厂家公章。</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只</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r>
      <w:tr>
        <w:tblPrEx>
          <w:tblCellMar>
            <w:top w:w="0" w:type="dxa"/>
            <w:left w:w="108" w:type="dxa"/>
            <w:bottom w:w="0" w:type="dxa"/>
            <w:right w:w="108" w:type="dxa"/>
          </w:tblCellMar>
        </w:tblPrEx>
        <w:trPr>
          <w:trHeight w:val="4290"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单18有源线阵低音炮</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频率响应：（±3DB） 35HZ—250HZ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频率响应：（-10DB） 25HZ—250HZ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低音驱动： 1×18〞（420mm）4〞(100mm)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额定功率 700W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连续功率 1400W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额定功率 2800W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灵敏度（1W/1M） 99DB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最大 SPL 131.5DB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阻抗 8Ω</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D类数字放大器  1200W+2*700W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产品尺寸（W×H×D） 533×740×704MM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包装尺寸（W×H×D） 625×865×800MM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重量：49KG</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▲所投产品应提供“一种厅堂扩声系统”技术证明材料扫描件并加盖生产厂家公章</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只</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r>
      <w:tr>
        <w:tblPrEx>
          <w:tblCellMar>
            <w:top w:w="0" w:type="dxa"/>
            <w:left w:w="108" w:type="dxa"/>
            <w:bottom w:w="0" w:type="dxa"/>
            <w:right w:w="108" w:type="dxa"/>
          </w:tblCellMar>
        </w:tblPrEx>
        <w:trPr>
          <w:trHeight w:val="585"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单10寸全频线阵航空箱</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一装二</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只</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r>
      <w:tr>
        <w:tblPrEx>
          <w:tblCellMar>
            <w:top w:w="0" w:type="dxa"/>
            <w:left w:w="108" w:type="dxa"/>
            <w:bottom w:w="0" w:type="dxa"/>
            <w:right w:w="108" w:type="dxa"/>
          </w:tblCellMar>
        </w:tblPrEx>
        <w:trPr>
          <w:trHeight w:val="274"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单18有源线阵低音炮航空箱</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一装一</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只</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r>
      <w:tr>
        <w:tblPrEx>
          <w:tblCellMar>
            <w:top w:w="0" w:type="dxa"/>
            <w:left w:w="108" w:type="dxa"/>
            <w:bottom w:w="0" w:type="dxa"/>
            <w:right w:w="108" w:type="dxa"/>
          </w:tblCellMar>
        </w:tblPrEx>
        <w:trPr>
          <w:trHeight w:val="3270"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8路电源时序器</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1. 每通道最多可设12个动态陷波器，12个PEQ.分辨精度1HZ,工作频率20HZ-20KHZ.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2. 24BIT高性能A/D及D/A转换</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3. 响应时间快中慢3速可设定，陷波器Q值两档自动选取。</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4. 自动扫描啸叫点并抑制。</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5. 噪声门功能可抑制系统微弱噪声干扰。</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6. 输入压缩功能，消除反馈同时更可扩展人声动态。</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7. 每通道。增益-80DB到0DB.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8. 每路设有四档移频选择，配合陷波器用，防啸叫效果出类拔萃</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台</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3225"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6</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12路调音台</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●便携式12路输入.</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●2个编组设有独立输出端，使连接更灵活.</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●内置16种DSP效果</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●单独+48v幻想电源开关</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●MP3大屏播放器</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●高品质USB音乐播放器.</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支持无线蓝牙接收</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●设1个辅助发送，方便扩展设备.</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1个效果发送，1个返回.</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●60mm长寿命高分析推子.</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●尺寸L×W×H(长宽高)：440×415×120（mm）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●净重重量： 5.4KG</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台</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699"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7</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数字反馈抑制器</w:t>
            </w:r>
          </w:p>
        </w:tc>
        <w:tc>
          <w:tcPr>
            <w:tcW w:w="4361" w:type="dxa"/>
            <w:tcBorders>
              <w:top w:val="nil"/>
              <w:left w:val="nil"/>
              <w:bottom w:val="nil"/>
              <w:right w:val="nil"/>
            </w:tcBorders>
            <w:shd w:val="clear" w:color="auto" w:fill="auto"/>
            <w:noWrap/>
            <w:vAlign w:val="bottom"/>
          </w:tcPr>
          <w:p>
            <w:pPr>
              <w:widowControl/>
              <w:jc w:val="left"/>
              <w:rPr>
                <w:rFonts w:ascii="等线" w:hAnsi="宋体" w:eastAsia="等线" w:cs="宋体"/>
                <w:color w:val="000000" w:themeColor="text1"/>
                <w:kern w:val="0"/>
                <w:sz w:val="22"/>
                <w:szCs w:val="22"/>
              </w:rPr>
            </w:pPr>
            <w:r>
              <w:rPr>
                <w:rFonts w:ascii="等线" w:hAnsi="宋体" w:eastAsia="等线" w:cs="宋体"/>
                <w:color w:val="000000" w:themeColor="text1"/>
                <w:kern w:val="0"/>
                <w:sz w:val="22"/>
                <w:szCs w:val="22"/>
              </w:rPr>
              <w:drawing>
                <wp:anchor distT="0" distB="0" distL="114300" distR="114300" simplePos="0" relativeHeight="251659264"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55" name="图片 455"/>
                  <wp:cNvGraphicFramePr/>
                  <a:graphic xmlns:a="http://schemas.openxmlformats.org/drawingml/2006/main">
                    <a:graphicData uri="http://schemas.openxmlformats.org/drawingml/2006/picture">
                      <pic:pic xmlns:pic="http://schemas.openxmlformats.org/drawingml/2006/picture">
                        <pic:nvPicPr>
                          <pic:cNvPr id="455" name="图片 455"/>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0288"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54" name="图片 454"/>
                  <wp:cNvGraphicFramePr/>
                  <a:graphic xmlns:a="http://schemas.openxmlformats.org/drawingml/2006/main">
                    <a:graphicData uri="http://schemas.openxmlformats.org/drawingml/2006/picture">
                      <pic:pic xmlns:pic="http://schemas.openxmlformats.org/drawingml/2006/picture">
                        <pic:nvPicPr>
                          <pic:cNvPr id="454" name="图片 454"/>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1312"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53" name="图片 453"/>
                  <wp:cNvGraphicFramePr/>
                  <a:graphic xmlns:a="http://schemas.openxmlformats.org/drawingml/2006/main">
                    <a:graphicData uri="http://schemas.openxmlformats.org/drawingml/2006/picture">
                      <pic:pic xmlns:pic="http://schemas.openxmlformats.org/drawingml/2006/picture">
                        <pic:nvPicPr>
                          <pic:cNvPr id="453" name="图片 453"/>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2336"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52" name="图片 452"/>
                  <wp:cNvGraphicFramePr/>
                  <a:graphic xmlns:a="http://schemas.openxmlformats.org/drawingml/2006/main">
                    <a:graphicData uri="http://schemas.openxmlformats.org/drawingml/2006/picture">
                      <pic:pic xmlns:pic="http://schemas.openxmlformats.org/drawingml/2006/picture">
                        <pic:nvPicPr>
                          <pic:cNvPr id="452" name="图片 452"/>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3360"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51" name="图片 451"/>
                  <wp:cNvGraphicFramePr/>
                  <a:graphic xmlns:a="http://schemas.openxmlformats.org/drawingml/2006/main">
                    <a:graphicData uri="http://schemas.openxmlformats.org/drawingml/2006/picture">
                      <pic:pic xmlns:pic="http://schemas.openxmlformats.org/drawingml/2006/picture">
                        <pic:nvPicPr>
                          <pic:cNvPr id="451" name="图片 451"/>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4384"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50" name="图片 450"/>
                  <wp:cNvGraphicFramePr/>
                  <a:graphic xmlns:a="http://schemas.openxmlformats.org/drawingml/2006/main">
                    <a:graphicData uri="http://schemas.openxmlformats.org/drawingml/2006/picture">
                      <pic:pic xmlns:pic="http://schemas.openxmlformats.org/drawingml/2006/picture">
                        <pic:nvPicPr>
                          <pic:cNvPr id="450" name="图片 450"/>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5408"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9" name="图片 449"/>
                  <wp:cNvGraphicFramePr/>
                  <a:graphic xmlns:a="http://schemas.openxmlformats.org/drawingml/2006/main">
                    <a:graphicData uri="http://schemas.openxmlformats.org/drawingml/2006/picture">
                      <pic:pic xmlns:pic="http://schemas.openxmlformats.org/drawingml/2006/picture">
                        <pic:nvPicPr>
                          <pic:cNvPr id="449" name="图片 449"/>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6432"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8" name="图片 448"/>
                  <wp:cNvGraphicFramePr/>
                  <a:graphic xmlns:a="http://schemas.openxmlformats.org/drawingml/2006/main">
                    <a:graphicData uri="http://schemas.openxmlformats.org/drawingml/2006/picture">
                      <pic:pic xmlns:pic="http://schemas.openxmlformats.org/drawingml/2006/picture">
                        <pic:nvPicPr>
                          <pic:cNvPr id="448" name="图片 448"/>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5648"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7" name="图片 447"/>
                  <wp:cNvGraphicFramePr/>
                  <a:graphic xmlns:a="http://schemas.openxmlformats.org/drawingml/2006/main">
                    <a:graphicData uri="http://schemas.openxmlformats.org/drawingml/2006/picture">
                      <pic:pic xmlns:pic="http://schemas.openxmlformats.org/drawingml/2006/picture">
                        <pic:nvPicPr>
                          <pic:cNvPr id="447" name="图片 447"/>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6672"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6" name="图片 446"/>
                  <wp:cNvGraphicFramePr/>
                  <a:graphic xmlns:a="http://schemas.openxmlformats.org/drawingml/2006/main">
                    <a:graphicData uri="http://schemas.openxmlformats.org/drawingml/2006/picture">
                      <pic:pic xmlns:pic="http://schemas.openxmlformats.org/drawingml/2006/picture">
                        <pic:nvPicPr>
                          <pic:cNvPr id="446" name="图片 446"/>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7696"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5" name="图片 445"/>
                  <wp:cNvGraphicFramePr/>
                  <a:graphic xmlns:a="http://schemas.openxmlformats.org/drawingml/2006/main">
                    <a:graphicData uri="http://schemas.openxmlformats.org/drawingml/2006/picture">
                      <pic:pic xmlns:pic="http://schemas.openxmlformats.org/drawingml/2006/picture">
                        <pic:nvPicPr>
                          <pic:cNvPr id="445" name="图片 445"/>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8720"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4" name="图片 444"/>
                  <wp:cNvGraphicFramePr/>
                  <a:graphic xmlns:a="http://schemas.openxmlformats.org/drawingml/2006/main">
                    <a:graphicData uri="http://schemas.openxmlformats.org/drawingml/2006/picture">
                      <pic:pic xmlns:pic="http://schemas.openxmlformats.org/drawingml/2006/picture">
                        <pic:nvPicPr>
                          <pic:cNvPr id="444" name="图片 444"/>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9744"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3" name="图片 443"/>
                  <wp:cNvGraphicFramePr/>
                  <a:graphic xmlns:a="http://schemas.openxmlformats.org/drawingml/2006/main">
                    <a:graphicData uri="http://schemas.openxmlformats.org/drawingml/2006/picture">
                      <pic:pic xmlns:pic="http://schemas.openxmlformats.org/drawingml/2006/picture">
                        <pic:nvPicPr>
                          <pic:cNvPr id="443" name="图片 443"/>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0768"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2" name="图片 442"/>
                  <wp:cNvGraphicFramePr/>
                  <a:graphic xmlns:a="http://schemas.openxmlformats.org/drawingml/2006/main">
                    <a:graphicData uri="http://schemas.openxmlformats.org/drawingml/2006/picture">
                      <pic:pic xmlns:pic="http://schemas.openxmlformats.org/drawingml/2006/picture">
                        <pic:nvPicPr>
                          <pic:cNvPr id="442" name="图片 442"/>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1792"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1" name="图片 441"/>
                  <wp:cNvGraphicFramePr/>
                  <a:graphic xmlns:a="http://schemas.openxmlformats.org/drawingml/2006/main">
                    <a:graphicData uri="http://schemas.openxmlformats.org/drawingml/2006/picture">
                      <pic:pic xmlns:pic="http://schemas.openxmlformats.org/drawingml/2006/picture">
                        <pic:nvPicPr>
                          <pic:cNvPr id="441" name="图片 441"/>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2816"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40" name="图片 440"/>
                  <wp:cNvGraphicFramePr/>
                  <a:graphic xmlns:a="http://schemas.openxmlformats.org/drawingml/2006/main">
                    <a:graphicData uri="http://schemas.openxmlformats.org/drawingml/2006/picture">
                      <pic:pic xmlns:pic="http://schemas.openxmlformats.org/drawingml/2006/picture">
                        <pic:nvPicPr>
                          <pic:cNvPr id="440" name="图片 440"/>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2032"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9" name="图片 439"/>
                  <wp:cNvGraphicFramePr/>
                  <a:graphic xmlns:a="http://schemas.openxmlformats.org/drawingml/2006/main">
                    <a:graphicData uri="http://schemas.openxmlformats.org/drawingml/2006/picture">
                      <pic:pic xmlns:pic="http://schemas.openxmlformats.org/drawingml/2006/picture">
                        <pic:nvPicPr>
                          <pic:cNvPr id="439" name="图片 439"/>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3056"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8" name="图片 438"/>
                  <wp:cNvGraphicFramePr/>
                  <a:graphic xmlns:a="http://schemas.openxmlformats.org/drawingml/2006/main">
                    <a:graphicData uri="http://schemas.openxmlformats.org/drawingml/2006/picture">
                      <pic:pic xmlns:pic="http://schemas.openxmlformats.org/drawingml/2006/picture">
                        <pic:nvPicPr>
                          <pic:cNvPr id="438" name="图片 438"/>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4080"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7" name="图片 437"/>
                  <wp:cNvGraphicFramePr/>
                  <a:graphic xmlns:a="http://schemas.openxmlformats.org/drawingml/2006/main">
                    <a:graphicData uri="http://schemas.openxmlformats.org/drawingml/2006/picture">
                      <pic:pic xmlns:pic="http://schemas.openxmlformats.org/drawingml/2006/picture">
                        <pic:nvPicPr>
                          <pic:cNvPr id="437" name="图片 437"/>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5104"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6" name="图片 436"/>
                  <wp:cNvGraphicFramePr/>
                  <a:graphic xmlns:a="http://schemas.openxmlformats.org/drawingml/2006/main">
                    <a:graphicData uri="http://schemas.openxmlformats.org/drawingml/2006/picture">
                      <pic:pic xmlns:pic="http://schemas.openxmlformats.org/drawingml/2006/picture">
                        <pic:nvPicPr>
                          <pic:cNvPr id="436" name="图片 436"/>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6128"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5" name="图片 435"/>
                  <wp:cNvGraphicFramePr/>
                  <a:graphic xmlns:a="http://schemas.openxmlformats.org/drawingml/2006/main">
                    <a:graphicData uri="http://schemas.openxmlformats.org/drawingml/2006/picture">
                      <pic:pic xmlns:pic="http://schemas.openxmlformats.org/drawingml/2006/picture">
                        <pic:nvPicPr>
                          <pic:cNvPr id="435" name="图片 435"/>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7152"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4" name="图片 434"/>
                  <wp:cNvGraphicFramePr/>
                  <a:graphic xmlns:a="http://schemas.openxmlformats.org/drawingml/2006/main">
                    <a:graphicData uri="http://schemas.openxmlformats.org/drawingml/2006/picture">
                      <pic:pic xmlns:pic="http://schemas.openxmlformats.org/drawingml/2006/picture">
                        <pic:nvPicPr>
                          <pic:cNvPr id="434" name="图片 434"/>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8176"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3" name="图片 433"/>
                  <wp:cNvGraphicFramePr/>
                  <a:graphic xmlns:a="http://schemas.openxmlformats.org/drawingml/2006/main">
                    <a:graphicData uri="http://schemas.openxmlformats.org/drawingml/2006/picture">
                      <pic:pic xmlns:pic="http://schemas.openxmlformats.org/drawingml/2006/picture">
                        <pic:nvPicPr>
                          <pic:cNvPr id="433" name="图片 433"/>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9200"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2" name="图片 432"/>
                  <wp:cNvGraphicFramePr/>
                  <a:graphic xmlns:a="http://schemas.openxmlformats.org/drawingml/2006/main">
                    <a:graphicData uri="http://schemas.openxmlformats.org/drawingml/2006/picture">
                      <pic:pic xmlns:pic="http://schemas.openxmlformats.org/drawingml/2006/picture">
                        <pic:nvPicPr>
                          <pic:cNvPr id="432" name="图片 432"/>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8416"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1" name="图片 431"/>
                  <wp:cNvGraphicFramePr/>
                  <a:graphic xmlns:a="http://schemas.openxmlformats.org/drawingml/2006/main">
                    <a:graphicData uri="http://schemas.openxmlformats.org/drawingml/2006/picture">
                      <pic:pic xmlns:pic="http://schemas.openxmlformats.org/drawingml/2006/picture">
                        <pic:nvPicPr>
                          <pic:cNvPr id="431" name="图片 431"/>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9440"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30" name="图片 430"/>
                  <wp:cNvGraphicFramePr/>
                  <a:graphic xmlns:a="http://schemas.openxmlformats.org/drawingml/2006/main">
                    <a:graphicData uri="http://schemas.openxmlformats.org/drawingml/2006/picture">
                      <pic:pic xmlns:pic="http://schemas.openxmlformats.org/drawingml/2006/picture">
                        <pic:nvPicPr>
                          <pic:cNvPr id="430" name="图片 430"/>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0464"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29" name="图片 429"/>
                  <wp:cNvGraphicFramePr/>
                  <a:graphic xmlns:a="http://schemas.openxmlformats.org/drawingml/2006/main">
                    <a:graphicData uri="http://schemas.openxmlformats.org/drawingml/2006/picture">
                      <pic:pic xmlns:pic="http://schemas.openxmlformats.org/drawingml/2006/picture">
                        <pic:nvPicPr>
                          <pic:cNvPr id="429" name="图片 429"/>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1488"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28" name="图片 428"/>
                  <wp:cNvGraphicFramePr/>
                  <a:graphic xmlns:a="http://schemas.openxmlformats.org/drawingml/2006/main">
                    <a:graphicData uri="http://schemas.openxmlformats.org/drawingml/2006/picture">
                      <pic:pic xmlns:pic="http://schemas.openxmlformats.org/drawingml/2006/picture">
                        <pic:nvPicPr>
                          <pic:cNvPr id="428" name="图片 428"/>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2512"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27" name="图片 427"/>
                  <wp:cNvGraphicFramePr/>
                  <a:graphic xmlns:a="http://schemas.openxmlformats.org/drawingml/2006/main">
                    <a:graphicData uri="http://schemas.openxmlformats.org/drawingml/2006/picture">
                      <pic:pic xmlns:pic="http://schemas.openxmlformats.org/drawingml/2006/picture">
                        <pic:nvPicPr>
                          <pic:cNvPr id="427" name="图片 427"/>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3536"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26" name="图片 426"/>
                  <wp:cNvGraphicFramePr/>
                  <a:graphic xmlns:a="http://schemas.openxmlformats.org/drawingml/2006/main">
                    <a:graphicData uri="http://schemas.openxmlformats.org/drawingml/2006/picture">
                      <pic:pic xmlns:pic="http://schemas.openxmlformats.org/drawingml/2006/picture">
                        <pic:nvPicPr>
                          <pic:cNvPr id="426" name="图片 426"/>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4560"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25" name="图片 425"/>
                  <wp:cNvGraphicFramePr/>
                  <a:graphic xmlns:a="http://schemas.openxmlformats.org/drawingml/2006/main">
                    <a:graphicData uri="http://schemas.openxmlformats.org/drawingml/2006/picture">
                      <pic:pic xmlns:pic="http://schemas.openxmlformats.org/drawingml/2006/picture">
                        <pic:nvPicPr>
                          <pic:cNvPr id="425" name="图片 425"/>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5584" behindDoc="0" locked="0" layoutInCell="1" allowOverlap="1">
                  <wp:simplePos x="0" y="0"/>
                  <wp:positionH relativeFrom="column">
                    <wp:posOffset>2286000</wp:posOffset>
                  </wp:positionH>
                  <wp:positionV relativeFrom="paragraph">
                    <wp:posOffset>971550</wp:posOffset>
                  </wp:positionV>
                  <wp:extent cx="1743075" cy="0"/>
                  <wp:effectExtent l="0" t="0" r="0" b="0"/>
                  <wp:wrapNone/>
                  <wp:docPr id="424" name="图片 424"/>
                  <wp:cNvGraphicFramePr/>
                  <a:graphic xmlns:a="http://schemas.openxmlformats.org/drawingml/2006/main">
                    <a:graphicData uri="http://schemas.openxmlformats.org/drawingml/2006/picture">
                      <pic:pic xmlns:pic="http://schemas.openxmlformats.org/drawingml/2006/picture">
                        <pic:nvPicPr>
                          <pic:cNvPr id="424" name="图片 424"/>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7456"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23" name="图片 423"/>
                  <wp:cNvGraphicFramePr/>
                  <a:graphic xmlns:a="http://schemas.openxmlformats.org/drawingml/2006/main">
                    <a:graphicData uri="http://schemas.openxmlformats.org/drawingml/2006/picture">
                      <pic:pic xmlns:pic="http://schemas.openxmlformats.org/drawingml/2006/picture">
                        <pic:nvPicPr>
                          <pic:cNvPr id="423" name="图片 423"/>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8480"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22" name="图片 422"/>
                  <wp:cNvGraphicFramePr/>
                  <a:graphic xmlns:a="http://schemas.openxmlformats.org/drawingml/2006/main">
                    <a:graphicData uri="http://schemas.openxmlformats.org/drawingml/2006/picture">
                      <pic:pic xmlns:pic="http://schemas.openxmlformats.org/drawingml/2006/picture">
                        <pic:nvPicPr>
                          <pic:cNvPr id="422" name="图片 422"/>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69504"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21" name="图片 421"/>
                  <wp:cNvGraphicFramePr/>
                  <a:graphic xmlns:a="http://schemas.openxmlformats.org/drawingml/2006/main">
                    <a:graphicData uri="http://schemas.openxmlformats.org/drawingml/2006/picture">
                      <pic:pic xmlns:pic="http://schemas.openxmlformats.org/drawingml/2006/picture">
                        <pic:nvPicPr>
                          <pic:cNvPr id="421" name="图片 421"/>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0528"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20" name="图片 420"/>
                  <wp:cNvGraphicFramePr/>
                  <a:graphic xmlns:a="http://schemas.openxmlformats.org/drawingml/2006/main">
                    <a:graphicData uri="http://schemas.openxmlformats.org/drawingml/2006/picture">
                      <pic:pic xmlns:pic="http://schemas.openxmlformats.org/drawingml/2006/picture">
                        <pic:nvPicPr>
                          <pic:cNvPr id="420" name="图片 420"/>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1552"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9" name="图片 419"/>
                  <wp:cNvGraphicFramePr/>
                  <a:graphic xmlns:a="http://schemas.openxmlformats.org/drawingml/2006/main">
                    <a:graphicData uri="http://schemas.openxmlformats.org/drawingml/2006/picture">
                      <pic:pic xmlns:pic="http://schemas.openxmlformats.org/drawingml/2006/picture">
                        <pic:nvPicPr>
                          <pic:cNvPr id="419" name="图片 419"/>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2576"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8" name="图片 418"/>
                  <wp:cNvGraphicFramePr/>
                  <a:graphic xmlns:a="http://schemas.openxmlformats.org/drawingml/2006/main">
                    <a:graphicData uri="http://schemas.openxmlformats.org/drawingml/2006/picture">
                      <pic:pic xmlns:pic="http://schemas.openxmlformats.org/drawingml/2006/picture">
                        <pic:nvPicPr>
                          <pic:cNvPr id="418" name="图片 418"/>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3600"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7" name="图片 417"/>
                  <wp:cNvGraphicFramePr/>
                  <a:graphic xmlns:a="http://schemas.openxmlformats.org/drawingml/2006/main">
                    <a:graphicData uri="http://schemas.openxmlformats.org/drawingml/2006/picture">
                      <pic:pic xmlns:pic="http://schemas.openxmlformats.org/drawingml/2006/picture">
                        <pic:nvPicPr>
                          <pic:cNvPr id="417" name="图片 417"/>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74624"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6" name="图片 416"/>
                  <wp:cNvGraphicFramePr/>
                  <a:graphic xmlns:a="http://schemas.openxmlformats.org/drawingml/2006/main">
                    <a:graphicData uri="http://schemas.openxmlformats.org/drawingml/2006/picture">
                      <pic:pic xmlns:pic="http://schemas.openxmlformats.org/drawingml/2006/picture">
                        <pic:nvPicPr>
                          <pic:cNvPr id="416" name="图片 416"/>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3840"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5" name="图片 415"/>
                  <wp:cNvGraphicFramePr/>
                  <a:graphic xmlns:a="http://schemas.openxmlformats.org/drawingml/2006/main">
                    <a:graphicData uri="http://schemas.openxmlformats.org/drawingml/2006/picture">
                      <pic:pic xmlns:pic="http://schemas.openxmlformats.org/drawingml/2006/picture">
                        <pic:nvPicPr>
                          <pic:cNvPr id="415" name="图片 415"/>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4864"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4" name="图片 414"/>
                  <wp:cNvGraphicFramePr/>
                  <a:graphic xmlns:a="http://schemas.openxmlformats.org/drawingml/2006/main">
                    <a:graphicData uri="http://schemas.openxmlformats.org/drawingml/2006/picture">
                      <pic:pic xmlns:pic="http://schemas.openxmlformats.org/drawingml/2006/picture">
                        <pic:nvPicPr>
                          <pic:cNvPr id="414" name="图片 414"/>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5888"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3" name="图片 413"/>
                  <wp:cNvGraphicFramePr/>
                  <a:graphic xmlns:a="http://schemas.openxmlformats.org/drawingml/2006/main">
                    <a:graphicData uri="http://schemas.openxmlformats.org/drawingml/2006/picture">
                      <pic:pic xmlns:pic="http://schemas.openxmlformats.org/drawingml/2006/picture">
                        <pic:nvPicPr>
                          <pic:cNvPr id="413" name="图片 413"/>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6912"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2" name="图片 412"/>
                  <wp:cNvGraphicFramePr/>
                  <a:graphic xmlns:a="http://schemas.openxmlformats.org/drawingml/2006/main">
                    <a:graphicData uri="http://schemas.openxmlformats.org/drawingml/2006/picture">
                      <pic:pic xmlns:pic="http://schemas.openxmlformats.org/drawingml/2006/picture">
                        <pic:nvPicPr>
                          <pic:cNvPr id="412" name="图片 412"/>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7936"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1" name="图片 411"/>
                  <wp:cNvGraphicFramePr/>
                  <a:graphic xmlns:a="http://schemas.openxmlformats.org/drawingml/2006/main">
                    <a:graphicData uri="http://schemas.openxmlformats.org/drawingml/2006/picture">
                      <pic:pic xmlns:pic="http://schemas.openxmlformats.org/drawingml/2006/picture">
                        <pic:nvPicPr>
                          <pic:cNvPr id="411" name="图片 411"/>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8960"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10" name="图片 410"/>
                  <wp:cNvGraphicFramePr/>
                  <a:graphic xmlns:a="http://schemas.openxmlformats.org/drawingml/2006/main">
                    <a:graphicData uri="http://schemas.openxmlformats.org/drawingml/2006/picture">
                      <pic:pic xmlns:pic="http://schemas.openxmlformats.org/drawingml/2006/picture">
                        <pic:nvPicPr>
                          <pic:cNvPr id="410" name="图片 410"/>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89984"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9" name="图片 409"/>
                  <wp:cNvGraphicFramePr/>
                  <a:graphic xmlns:a="http://schemas.openxmlformats.org/drawingml/2006/main">
                    <a:graphicData uri="http://schemas.openxmlformats.org/drawingml/2006/picture">
                      <pic:pic xmlns:pic="http://schemas.openxmlformats.org/drawingml/2006/picture">
                        <pic:nvPicPr>
                          <pic:cNvPr id="409" name="图片 409"/>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691008"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8" name="图片 408"/>
                  <wp:cNvGraphicFramePr/>
                  <a:graphic xmlns:a="http://schemas.openxmlformats.org/drawingml/2006/main">
                    <a:graphicData uri="http://schemas.openxmlformats.org/drawingml/2006/picture">
                      <pic:pic xmlns:pic="http://schemas.openxmlformats.org/drawingml/2006/picture">
                        <pic:nvPicPr>
                          <pic:cNvPr id="408" name="图片 408"/>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0224"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7" name="图片 407"/>
                  <wp:cNvGraphicFramePr/>
                  <a:graphic xmlns:a="http://schemas.openxmlformats.org/drawingml/2006/main">
                    <a:graphicData uri="http://schemas.openxmlformats.org/drawingml/2006/picture">
                      <pic:pic xmlns:pic="http://schemas.openxmlformats.org/drawingml/2006/picture">
                        <pic:nvPicPr>
                          <pic:cNvPr id="407" name="图片 407"/>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1248"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6" name="图片 406"/>
                  <wp:cNvGraphicFramePr/>
                  <a:graphic xmlns:a="http://schemas.openxmlformats.org/drawingml/2006/main">
                    <a:graphicData uri="http://schemas.openxmlformats.org/drawingml/2006/picture">
                      <pic:pic xmlns:pic="http://schemas.openxmlformats.org/drawingml/2006/picture">
                        <pic:nvPicPr>
                          <pic:cNvPr id="406" name="图片 406"/>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2272"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5" name="图片 405"/>
                  <wp:cNvGraphicFramePr/>
                  <a:graphic xmlns:a="http://schemas.openxmlformats.org/drawingml/2006/main">
                    <a:graphicData uri="http://schemas.openxmlformats.org/drawingml/2006/picture">
                      <pic:pic xmlns:pic="http://schemas.openxmlformats.org/drawingml/2006/picture">
                        <pic:nvPicPr>
                          <pic:cNvPr id="405" name="图片 405"/>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3296"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4" name="图片 404"/>
                  <wp:cNvGraphicFramePr/>
                  <a:graphic xmlns:a="http://schemas.openxmlformats.org/drawingml/2006/main">
                    <a:graphicData uri="http://schemas.openxmlformats.org/drawingml/2006/picture">
                      <pic:pic xmlns:pic="http://schemas.openxmlformats.org/drawingml/2006/picture">
                        <pic:nvPicPr>
                          <pic:cNvPr id="404" name="图片 404"/>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4320"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3" name="图片 403"/>
                  <wp:cNvGraphicFramePr/>
                  <a:graphic xmlns:a="http://schemas.openxmlformats.org/drawingml/2006/main">
                    <a:graphicData uri="http://schemas.openxmlformats.org/drawingml/2006/picture">
                      <pic:pic xmlns:pic="http://schemas.openxmlformats.org/drawingml/2006/picture">
                        <pic:nvPicPr>
                          <pic:cNvPr id="403" name="图片 403"/>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5344"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2" name="图片 402"/>
                  <wp:cNvGraphicFramePr/>
                  <a:graphic xmlns:a="http://schemas.openxmlformats.org/drawingml/2006/main">
                    <a:graphicData uri="http://schemas.openxmlformats.org/drawingml/2006/picture">
                      <pic:pic xmlns:pic="http://schemas.openxmlformats.org/drawingml/2006/picture">
                        <pic:nvPicPr>
                          <pic:cNvPr id="402" name="图片 402"/>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6368"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1" name="图片 401"/>
                  <wp:cNvGraphicFramePr/>
                  <a:graphic xmlns:a="http://schemas.openxmlformats.org/drawingml/2006/main">
                    <a:graphicData uri="http://schemas.openxmlformats.org/drawingml/2006/picture">
                      <pic:pic xmlns:pic="http://schemas.openxmlformats.org/drawingml/2006/picture">
                        <pic:nvPicPr>
                          <pic:cNvPr id="401" name="图片 401"/>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07392"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400" name="图片 400"/>
                  <wp:cNvGraphicFramePr/>
                  <a:graphic xmlns:a="http://schemas.openxmlformats.org/drawingml/2006/main">
                    <a:graphicData uri="http://schemas.openxmlformats.org/drawingml/2006/picture">
                      <pic:pic xmlns:pic="http://schemas.openxmlformats.org/drawingml/2006/picture">
                        <pic:nvPicPr>
                          <pic:cNvPr id="400" name="图片 400"/>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6608"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9" name="图片 399"/>
                  <wp:cNvGraphicFramePr/>
                  <a:graphic xmlns:a="http://schemas.openxmlformats.org/drawingml/2006/main">
                    <a:graphicData uri="http://schemas.openxmlformats.org/drawingml/2006/picture">
                      <pic:pic xmlns:pic="http://schemas.openxmlformats.org/drawingml/2006/picture">
                        <pic:nvPicPr>
                          <pic:cNvPr id="399" name="图片 399"/>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7632"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8" name="图片 398"/>
                  <wp:cNvGraphicFramePr/>
                  <a:graphic xmlns:a="http://schemas.openxmlformats.org/drawingml/2006/main">
                    <a:graphicData uri="http://schemas.openxmlformats.org/drawingml/2006/picture">
                      <pic:pic xmlns:pic="http://schemas.openxmlformats.org/drawingml/2006/picture">
                        <pic:nvPicPr>
                          <pic:cNvPr id="398" name="图片 398"/>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8656"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7" name="图片 397"/>
                  <wp:cNvGraphicFramePr/>
                  <a:graphic xmlns:a="http://schemas.openxmlformats.org/drawingml/2006/main">
                    <a:graphicData uri="http://schemas.openxmlformats.org/drawingml/2006/picture">
                      <pic:pic xmlns:pic="http://schemas.openxmlformats.org/drawingml/2006/picture">
                        <pic:nvPicPr>
                          <pic:cNvPr id="397" name="图片 397"/>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19680"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6" name="图片 396"/>
                  <wp:cNvGraphicFramePr/>
                  <a:graphic xmlns:a="http://schemas.openxmlformats.org/drawingml/2006/main">
                    <a:graphicData uri="http://schemas.openxmlformats.org/drawingml/2006/picture">
                      <pic:pic xmlns:pic="http://schemas.openxmlformats.org/drawingml/2006/picture">
                        <pic:nvPicPr>
                          <pic:cNvPr id="396" name="图片 396"/>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20704"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5" name="图片 395"/>
                  <wp:cNvGraphicFramePr/>
                  <a:graphic xmlns:a="http://schemas.openxmlformats.org/drawingml/2006/main">
                    <a:graphicData uri="http://schemas.openxmlformats.org/drawingml/2006/picture">
                      <pic:pic xmlns:pic="http://schemas.openxmlformats.org/drawingml/2006/picture">
                        <pic:nvPicPr>
                          <pic:cNvPr id="395" name="图片 395"/>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21728"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4" name="图片 394"/>
                  <wp:cNvGraphicFramePr/>
                  <a:graphic xmlns:a="http://schemas.openxmlformats.org/drawingml/2006/main">
                    <a:graphicData uri="http://schemas.openxmlformats.org/drawingml/2006/picture">
                      <pic:pic xmlns:pic="http://schemas.openxmlformats.org/drawingml/2006/picture">
                        <pic:nvPicPr>
                          <pic:cNvPr id="394" name="图片 394"/>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22752"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3" name="图片 393"/>
                  <wp:cNvGraphicFramePr/>
                  <a:graphic xmlns:a="http://schemas.openxmlformats.org/drawingml/2006/main">
                    <a:graphicData uri="http://schemas.openxmlformats.org/drawingml/2006/picture">
                      <pic:pic xmlns:pic="http://schemas.openxmlformats.org/drawingml/2006/picture">
                        <pic:nvPicPr>
                          <pic:cNvPr id="393" name="图片 393"/>
                          <pic:cNvPicPr/>
                        </pic:nvPicPr>
                        <pic:blipFill>
                          <a:blip r:embed="rId4"/>
                          <a:stretch>
                            <a:fillRect/>
                          </a:stretch>
                        </pic:blipFill>
                        <pic:spPr>
                          <a:xfrm>
                            <a:off x="0" y="0"/>
                            <a:ext cx="1744345" cy="0"/>
                          </a:xfrm>
                          <a:prstGeom prst="rect">
                            <a:avLst/>
                          </a:prstGeom>
                        </pic:spPr>
                      </pic:pic>
                    </a:graphicData>
                  </a:graphic>
                </wp:anchor>
              </w:drawing>
            </w:r>
            <w:r>
              <w:rPr>
                <w:rFonts w:ascii="等线" w:hAnsi="宋体" w:eastAsia="等线" w:cs="宋体"/>
                <w:color w:val="000000" w:themeColor="text1"/>
                <w:kern w:val="0"/>
                <w:sz w:val="22"/>
                <w:szCs w:val="22"/>
              </w:rPr>
              <w:drawing>
                <wp:anchor distT="0" distB="0" distL="114300" distR="114300" simplePos="0" relativeHeight="251723776" behindDoc="0" locked="0" layoutInCell="1" allowOverlap="1">
                  <wp:simplePos x="0" y="0"/>
                  <wp:positionH relativeFrom="column">
                    <wp:posOffset>2286000</wp:posOffset>
                  </wp:positionH>
                  <wp:positionV relativeFrom="paragraph">
                    <wp:posOffset>2247900</wp:posOffset>
                  </wp:positionV>
                  <wp:extent cx="1743075" cy="0"/>
                  <wp:effectExtent l="0" t="0" r="0" b="0"/>
                  <wp:wrapNone/>
                  <wp:docPr id="392" name="图片 392"/>
                  <wp:cNvGraphicFramePr/>
                  <a:graphic xmlns:a="http://schemas.openxmlformats.org/drawingml/2006/main">
                    <a:graphicData uri="http://schemas.openxmlformats.org/drawingml/2006/picture">
                      <pic:pic xmlns:pic="http://schemas.openxmlformats.org/drawingml/2006/picture">
                        <pic:nvPicPr>
                          <pic:cNvPr id="392" name="图片 392"/>
                          <pic:cNvPicPr/>
                        </pic:nvPicPr>
                        <pic:blipFill>
                          <a:blip r:embed="rId4"/>
                          <a:stretch>
                            <a:fillRect/>
                          </a:stretch>
                        </pic:blipFill>
                        <pic:spPr>
                          <a:xfrm>
                            <a:off x="0" y="0"/>
                            <a:ext cx="1744345" cy="0"/>
                          </a:xfrm>
                          <a:prstGeom prst="rect">
                            <a:avLst/>
                          </a:prstGeom>
                        </pic:spPr>
                      </pic:pic>
                    </a:graphicData>
                  </a:graphic>
                </wp:anchor>
              </w:drawing>
            </w:r>
          </w:p>
          <w:tbl>
            <w:tblPr>
              <w:tblStyle w:val="11"/>
              <w:tblW w:w="4145" w:type="dxa"/>
              <w:tblCellSpacing w:w="0" w:type="dxa"/>
              <w:tblInd w:w="0" w:type="dxa"/>
              <w:tblLayout w:type="autofit"/>
              <w:tblCellMar>
                <w:top w:w="0" w:type="dxa"/>
                <w:left w:w="0" w:type="dxa"/>
                <w:bottom w:w="0" w:type="dxa"/>
                <w:right w:w="0" w:type="dxa"/>
              </w:tblCellMar>
            </w:tblPr>
            <w:tblGrid>
              <w:gridCol w:w="4145"/>
            </w:tblGrid>
            <w:tr>
              <w:tblPrEx>
                <w:tblCellMar>
                  <w:top w:w="0" w:type="dxa"/>
                  <w:left w:w="0" w:type="dxa"/>
                  <w:bottom w:w="0" w:type="dxa"/>
                  <w:right w:w="0" w:type="dxa"/>
                </w:tblCellMar>
              </w:tblPrEx>
              <w:trPr>
                <w:trHeight w:val="5154" w:hRule="atLeast"/>
                <w:tblCellSpacing w:w="0" w:type="dxa"/>
              </w:trPr>
              <w:tc>
                <w:tcPr>
                  <w:tcW w:w="41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无须调试，自动适应声学环境；</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任何使用情况下都可获得6dB的增益最高达12dB；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无论打开多少个话筒，效果依然出色；</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全自动，免调试，零维护。</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消除反馈于未然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自动适应声学环境</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2通道平衡的线路或话筒输入，提供幻象电源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自适应性过滤器可以在“快速”模式和“精确”模式之间进行转换</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快速模式适用于话筒位置经常变化的场合:</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自适应性过滤器能够以较慢的速度收敛，从而抑制更多的混响成分。</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内置了自动混音器，以实现优先功能。</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▲投标音频设备厂家具有由电气和电子工程师协会（IEEE）分配的在全球认可的唯一MAC地址池，提供官方证明材料复印件、查询链接与官网截图，并加盖生产厂家公章</w:t>
                  </w:r>
                </w:p>
              </w:tc>
            </w:tr>
          </w:tbl>
          <w:p>
            <w:pPr>
              <w:widowControl/>
              <w:jc w:val="left"/>
              <w:rPr>
                <w:rFonts w:ascii="等线" w:hAnsi="宋体" w:eastAsia="等线" w:cs="宋体"/>
                <w:color w:val="000000" w:themeColor="text1"/>
                <w:kern w:val="0"/>
                <w:sz w:val="22"/>
                <w:szCs w:val="22"/>
              </w:rPr>
            </w:pP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台</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2022"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效果器</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最大输入电平4V(RMS)</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最在输出电平4V(RMS)</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音乐通道增益12dB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麦克风灵敏度64mV(Out: 4V)</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信噪比＞80dB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输入电压220V 50Hz</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台</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4185"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9</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一拖二无线麦克</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调制方式：UHF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音频响应：40Hz～16KHz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频率范围：780-910MHz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系统失真：≤0.02%</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频率稳定度：±0.005%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镜像干扰比：&gt;80dB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动态范围：&gt;90dB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最大频偏：±25KHz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信噪比：≥95dB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温度范围：-10℃～55℃</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理想使用距离：100m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麦克风工作电压：1.5Vx2</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接收机工作电压：220V</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双路单接收PLL 锁相环合成式技术自动选讯能随意切换双重静音控制，接收距离远LCD 液晶显示功能让用户灵活应用于任何场合。</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套</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r>
      <w:tr>
        <w:tblPrEx>
          <w:tblCellMar>
            <w:top w:w="0" w:type="dxa"/>
            <w:left w:w="108" w:type="dxa"/>
            <w:bottom w:w="0" w:type="dxa"/>
            <w:right w:w="108" w:type="dxa"/>
          </w:tblCellMar>
        </w:tblPrEx>
        <w:trPr>
          <w:trHeight w:val="2760"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10</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监听音箱</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二分频有源近场监听系统</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驱动单元：低音/5英寸锥面、高音/1英寸钛金属半球形</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频率响应：50Hz-40kHz（-10dB）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最大输出电平：101dB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功率：低音输出40W、高音输出27W</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磁屏蔽</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▲投标音频设备厂家获得音频扩音十佳品牌，提供相关材料复印件并加盖厂家公章。</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只</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2745"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11</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配套田字架</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田字架参数：</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吊架配件：插销/飞机带/连接杆/小羊圈/螺母</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材质：热轧钢板</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工艺：表面处理，阳极喷粉处理</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提升重量:大于2吨以上</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安装：孔位设计自由满足吊挂及移动多种需求</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尺寸：（高810mm×宽780mm×深800mm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重量：15kg</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只</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r>
      <w:tr>
        <w:tblPrEx>
          <w:tblCellMar>
            <w:top w:w="0" w:type="dxa"/>
            <w:left w:w="108" w:type="dxa"/>
            <w:bottom w:w="0" w:type="dxa"/>
            <w:right w:w="108" w:type="dxa"/>
          </w:tblCellMar>
        </w:tblPrEx>
        <w:trPr>
          <w:trHeight w:val="2490"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12</w:t>
            </w:r>
          </w:p>
        </w:tc>
        <w:tc>
          <w:tcPr>
            <w:tcW w:w="793" w:type="dxa"/>
            <w:tcBorders>
              <w:top w:val="nil"/>
              <w:left w:val="nil"/>
              <w:bottom w:val="nil"/>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机柜</w:t>
            </w:r>
          </w:p>
        </w:tc>
        <w:tc>
          <w:tcPr>
            <w:tcW w:w="4361" w:type="dxa"/>
            <w:tcBorders>
              <w:top w:val="nil"/>
              <w:left w:val="nil"/>
              <w:bottom w:val="nil"/>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功能简介：</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■标准防震机柜通风</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■带锁可固定五输出万能电源插座/线缆束线槽，</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■结构： 木质定制</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产品参数：</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平衡脚      4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 结构轮      4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尺寸:高150MM*宽60MM*深60MM</w:t>
            </w:r>
          </w:p>
        </w:tc>
        <w:tc>
          <w:tcPr>
            <w:tcW w:w="709" w:type="dxa"/>
            <w:tcBorders>
              <w:top w:val="nil"/>
              <w:left w:val="nil"/>
              <w:bottom w:val="nil"/>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台</w:t>
            </w:r>
          </w:p>
        </w:tc>
        <w:tc>
          <w:tcPr>
            <w:tcW w:w="852" w:type="dxa"/>
            <w:tcBorders>
              <w:top w:val="nil"/>
              <w:left w:val="nil"/>
              <w:bottom w:val="nil"/>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274"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13</w:t>
            </w:r>
          </w:p>
        </w:tc>
        <w:tc>
          <w:tcPr>
            <w:tcW w:w="79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一推二无线麦克（领夹）</w:t>
            </w:r>
          </w:p>
        </w:tc>
        <w:tc>
          <w:tcPr>
            <w:tcW w:w="4361"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调制方式：UHF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音频响应：40Hz～16KHz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频率范围：780-910MHz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系统失真：≤0.02%</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频率稳定度：±0.005%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镜像干扰比：&gt;80dB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动态范围：&gt;90dB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最大频偏：±25KHz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信噪比：≥95dB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温度范围：-10℃～55℃</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理想使用距离：100m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麦克风工作电压：1.5Vx2</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接收机工作电压：220V</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双路单接收PLL 锁相环合成式技术自动选讯能随意切换双重静音控制，接收距离远LCD 液晶显示功能让用户灵活应用于任何场合。</w:t>
            </w:r>
          </w:p>
        </w:tc>
        <w:tc>
          <w:tcPr>
            <w:tcW w:w="70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套</w:t>
            </w:r>
          </w:p>
        </w:tc>
        <w:tc>
          <w:tcPr>
            <w:tcW w:w="85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4065"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14</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一推二无线麦克（耳挂）</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 xml:space="preserve">调制方式：UHF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音频响应：40Hz～16KHz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频率范围：780-910MHz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系统失真：≤0.02%</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频率稳定度：±0.005%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镜像干扰比：&gt;80dB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动态范围：&gt;90dB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最大频偏：±25KHz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信噪比：≥95dB</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温度范围：-10℃～55℃</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理想使用距离：100m</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麦克风工作电压：1.5Vx2</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接收机工作电压：220V</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双路单接收PLL 锁相环合成式技术自动选讯能随意切换双重静音控制，接收距离远LCD 液晶显示功能让用户灵活应用于任何场合。</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套</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1550"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15</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天线信号放大器</w:t>
            </w:r>
          </w:p>
        </w:tc>
        <w:tc>
          <w:tcPr>
            <w:tcW w:w="436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1、一个具有放大功能的UHF天线分配系统，实现将一对天线拆分给无线接收机来扩展无线话筒系统；</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2、专门用于大型UHF无线系统，每个单元能够让四个无线接收机使用相同的两条天线。级联端口能够接到第五个接收机或第二台天线分配系统；</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3、兼容性，天线分配系统能够与兼容频率范围内工作的所有无线麦克风接收机兼容；</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4、级联端口，两个50QBNC型天线级联端口，能够额外连接一台天线分配系统或者第五台无线接收机。大型无线系统可以在使用一对天线的情况下工作。</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技术参数</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载波频率范围：400-950MHZ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输入/输出天线接头类型：BNC</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输出外接电源：DC 12V 800mA</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有源指向性天线</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产品特点</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 xml:space="preserve">采用对数周期偶极振子阵列，能够在面向所需的覆盖区域时，提供很好的接收效果，集成式放大器具有四个增益设置，用于补偿不同级别的同轴线缆信号损失。低噪声信号放大器能够补偿同轴线缆的插入损失。                     </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技术参数</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天线类型：对数周期偶极振子阵列</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射频频率范围：400-950MHZ</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工作电压：10V DC</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阻抗：50Q</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接头类型：BNC</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天线增益：7.5dBi</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套</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r>
      <w:tr>
        <w:tblPrEx>
          <w:tblCellMar>
            <w:top w:w="0" w:type="dxa"/>
            <w:left w:w="108" w:type="dxa"/>
            <w:bottom w:w="0" w:type="dxa"/>
            <w:right w:w="108" w:type="dxa"/>
          </w:tblCellMar>
        </w:tblPrEx>
        <w:trPr>
          <w:trHeight w:val="945"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16</w:t>
            </w:r>
          </w:p>
        </w:tc>
        <w:tc>
          <w:tcPr>
            <w:tcW w:w="7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线材</w:t>
            </w:r>
          </w:p>
        </w:tc>
        <w:tc>
          <w:tcPr>
            <w:tcW w:w="436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卡农线、三芯电源线（2*2.5平方）、RVV音箱线（2*250芯）、三芯话筒线（144编）</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批</w:t>
            </w:r>
          </w:p>
        </w:tc>
        <w:tc>
          <w:tcPr>
            <w:tcW w:w="8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r>
        <w:tblPrEx>
          <w:tblCellMar>
            <w:top w:w="0" w:type="dxa"/>
            <w:left w:w="108" w:type="dxa"/>
            <w:bottom w:w="0" w:type="dxa"/>
            <w:right w:w="108" w:type="dxa"/>
          </w:tblCellMar>
        </w:tblPrEx>
        <w:trPr>
          <w:trHeight w:val="390" w:hRule="atLeast"/>
        </w:trPr>
        <w:tc>
          <w:tcPr>
            <w:tcW w:w="5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17</w:t>
            </w:r>
          </w:p>
        </w:tc>
        <w:tc>
          <w:tcPr>
            <w:tcW w:w="79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其它辅材</w:t>
            </w:r>
          </w:p>
        </w:tc>
        <w:tc>
          <w:tcPr>
            <w:tcW w:w="436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卡龙头、螺丝、胶带等</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项</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r>
    </w:tbl>
    <w:p>
      <w:pPr>
        <w:spacing w:line="540" w:lineRule="exact"/>
        <w:ind w:firstLine="66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四、投标人资质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合格的投标人应符合下列条件：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pPr>
        <w:ind w:firstLine="840" w:firstLineChars="3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(2)具有良好的商业信誉和健全的财务会计制度。</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(3)具有履行合同所必需的设备和专业技术能力。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(4)有依法缴纳税收的良好记录。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(5)近三年内，在经营活动中没有重大违法记录。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(6)法律、行政法规规定的其他条件。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（二）投标人特殊资格条件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具有相关营业执照，经营范围须包括技术参数内容。(提供复印件,原件备查)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（三）投标注意事项：</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1、本项目不接受联合体投标；</w:t>
      </w:r>
    </w:p>
    <w:p>
      <w:pPr>
        <w:spacing w:line="540" w:lineRule="exact"/>
        <w:ind w:firstLine="660"/>
        <w:rPr>
          <w:rFonts w:cs="宋体" w:asciiTheme="minorEastAsia" w:hAnsiTheme="minorEastAsia" w:eastAsiaTheme="minorEastAsia"/>
          <w:b/>
          <w:bCs/>
          <w:kern w:val="0"/>
          <w:sz w:val="28"/>
          <w:szCs w:val="28"/>
        </w:rPr>
      </w:pPr>
      <w:bookmarkStart w:id="4" w:name="_Toc361131441"/>
      <w:r>
        <w:rPr>
          <w:rFonts w:hint="eastAsia" w:cs="宋体" w:asciiTheme="minorEastAsia" w:hAnsiTheme="minorEastAsia" w:eastAsiaTheme="minorEastAsia"/>
          <w:b/>
          <w:bCs/>
          <w:kern w:val="0"/>
          <w:sz w:val="28"/>
          <w:szCs w:val="28"/>
        </w:rPr>
        <w:t>五、投标保证金</w:t>
      </w:r>
      <w:bookmarkEnd w:id="4"/>
    </w:p>
    <w:p>
      <w:pPr>
        <w:spacing w:line="540" w:lineRule="exact"/>
        <w:ind w:firstLine="660"/>
        <w:rPr>
          <w:rFonts w:cs="宋体" w:asciiTheme="minorEastAsia" w:hAnsiTheme="minorEastAsia" w:eastAsiaTheme="minorEastAsia"/>
          <w:kern w:val="0"/>
          <w:sz w:val="28"/>
          <w:szCs w:val="28"/>
        </w:rPr>
      </w:pPr>
      <w:bookmarkStart w:id="5" w:name="_Toc361131442"/>
      <w:r>
        <w:rPr>
          <w:rFonts w:hint="eastAsia" w:cs="宋体" w:asciiTheme="minorEastAsia" w:hAnsiTheme="minorEastAsia" w:eastAsiaTheme="minorEastAsia"/>
          <w:kern w:val="0"/>
          <w:sz w:val="28"/>
          <w:szCs w:val="28"/>
        </w:rPr>
        <w:t>（一）缴纳投标保证金具体缴纳方式如下：</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缴纳本项目规定数额投标报名费200.00元（大写：贰佰元整），投标保证金1800.00元（大写：壹仟捌佰元整）的投标人须确保从其基本账户将投标报名费、保证金汇入重庆铁路运输高级技工学校的账号上，其到账的截止时间为2023年9月20日8：00时，并务必在进账凭证上明确“学校室外移动音响设备采购项目采购项目”。</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2.本项目</w:t>
      </w:r>
      <w:r>
        <w:rPr>
          <w:rFonts w:hint="eastAsia" w:ascii="宋体" w:hAnsi="宋体" w:cs="宋体"/>
          <w:kern w:val="0"/>
          <w:sz w:val="28"/>
          <w:szCs w:val="28"/>
        </w:rPr>
        <w:t>投标报名费、保证金账户</w:t>
      </w:r>
      <w:r>
        <w:rPr>
          <w:rFonts w:hint="eastAsia" w:cs="宋体" w:asciiTheme="minorEastAsia" w:hAnsiTheme="minorEastAsia" w:eastAsiaTheme="minorEastAsia"/>
          <w:kern w:val="0"/>
          <w:sz w:val="28"/>
          <w:szCs w:val="28"/>
        </w:rPr>
        <w:t>：</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户名：重庆铁路运输高级技工学校</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开户行：中行重庆沙坪坝支行上桥新街分理处</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 108802942557</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（1）竞标人必须付款凭证备注栏中注明“学校室外移动音响设备采购项目采购项目”；</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（2）各竞标人在银行转账（电汇）时，须充分考虑银行转账（电汇）的时间差风险，如同城转账、异地转账或汇款、跨行转账或电汇的时间要求。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（3）竞标人须持基本账户开户许可证原件到谈判现场备查。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（4）各竞标人在递交谈判保证金时，到款账户为上述指定的专用账户，来款账户必须为本公司基本账户。</w:t>
      </w:r>
    </w:p>
    <w:p>
      <w:pPr>
        <w:spacing w:line="540" w:lineRule="exact"/>
        <w:ind w:firstLine="660"/>
        <w:rPr>
          <w:rFonts w:ascii="宋体" w:hAnsi="宋体" w:cs="宋体"/>
          <w:kern w:val="0"/>
          <w:sz w:val="28"/>
          <w:szCs w:val="28"/>
        </w:rPr>
      </w:pPr>
      <w:r>
        <w:rPr>
          <w:rFonts w:hint="eastAsia" w:ascii="宋体" w:hAnsi="宋体" w:cs="宋体"/>
          <w:kern w:val="0"/>
          <w:sz w:val="28"/>
          <w:szCs w:val="28"/>
        </w:rPr>
        <w:t>（二）保证金退还方式</w:t>
      </w:r>
    </w:p>
    <w:p>
      <w:pPr>
        <w:spacing w:line="540" w:lineRule="exact"/>
        <w:ind w:firstLine="660"/>
        <w:rPr>
          <w:rFonts w:ascii="宋体" w:hAnsi="宋体" w:cs="宋体"/>
          <w:kern w:val="0"/>
          <w:sz w:val="28"/>
          <w:szCs w:val="28"/>
        </w:rPr>
      </w:pPr>
      <w:r>
        <w:rPr>
          <w:rFonts w:hint="eastAsia" w:ascii="宋体" w:hAnsi="宋体" w:cs="宋体"/>
          <w:kern w:val="0"/>
          <w:sz w:val="28"/>
          <w:szCs w:val="28"/>
        </w:rPr>
        <w:t>1.递交投标保证金的未中标的投标供应商，在中标结果公示，中标通知书发放后，由重庆铁路运输高级技工学校在5个工作日内按原来款渠道直接退还。</w:t>
      </w:r>
    </w:p>
    <w:p>
      <w:pPr>
        <w:spacing w:line="540" w:lineRule="exact"/>
        <w:ind w:firstLine="660"/>
        <w:rPr>
          <w:rFonts w:ascii="宋体" w:hAnsi="宋体" w:cs="宋体"/>
          <w:kern w:val="0"/>
          <w:sz w:val="28"/>
          <w:szCs w:val="28"/>
        </w:rPr>
      </w:pPr>
      <w:r>
        <w:rPr>
          <w:rFonts w:hint="eastAsia" w:ascii="宋体" w:hAnsi="宋体" w:cs="宋体"/>
          <w:kern w:val="0"/>
          <w:sz w:val="28"/>
          <w:szCs w:val="28"/>
        </w:rPr>
        <w:t>2.中标供应商的投标保证金，中标供应商与重庆铁路运输高级技工学校在中标通知书发出之日起7日内签订合同后，由重庆铁路运输高级技工学校在</w:t>
      </w:r>
      <w:r>
        <w:rPr>
          <w:rFonts w:ascii="宋体" w:hAnsi="宋体" w:cs="宋体"/>
          <w:kern w:val="0"/>
          <w:sz w:val="28"/>
          <w:szCs w:val="28"/>
        </w:rPr>
        <w:t>5</w:t>
      </w:r>
      <w:r>
        <w:rPr>
          <w:rFonts w:hint="eastAsia" w:ascii="宋体" w:hAnsi="宋体" w:cs="宋体"/>
          <w:kern w:val="0"/>
          <w:sz w:val="28"/>
          <w:szCs w:val="28"/>
        </w:rPr>
        <w:t>个工作日内按原来款渠道直接退还。</w:t>
      </w:r>
    </w:p>
    <w:p>
      <w:pPr>
        <w:spacing w:line="540" w:lineRule="exact"/>
        <w:ind w:firstLine="660"/>
        <w:rPr>
          <w:rFonts w:ascii="宋体" w:hAnsi="宋体" w:cs="宋体"/>
          <w:kern w:val="0"/>
          <w:sz w:val="28"/>
          <w:szCs w:val="28"/>
        </w:rPr>
      </w:pPr>
      <w:r>
        <w:rPr>
          <w:rFonts w:hint="eastAsia" w:ascii="宋体" w:hAnsi="宋体" w:cs="宋体"/>
          <w:kern w:val="0"/>
          <w:sz w:val="28"/>
          <w:szCs w:val="28"/>
        </w:rPr>
        <w:t>3.所有的项目保证金招标人按规定期限退还时，均不产生任何利息。</w:t>
      </w:r>
    </w:p>
    <w:p>
      <w:pPr>
        <w:spacing w:line="540" w:lineRule="exact"/>
        <w:ind w:firstLine="660"/>
        <w:rPr>
          <w:rFonts w:ascii="宋体" w:hAnsi="宋体" w:cs="宋体"/>
          <w:kern w:val="0"/>
          <w:sz w:val="28"/>
          <w:szCs w:val="28"/>
        </w:rPr>
      </w:pPr>
      <w:r>
        <w:rPr>
          <w:rFonts w:hint="eastAsia" w:ascii="宋体" w:hAnsi="宋体" w:cs="宋体"/>
          <w:kern w:val="0"/>
          <w:sz w:val="28"/>
          <w:szCs w:val="28"/>
        </w:rPr>
        <w:t>4.递交投标保证金咨询电话：（023）65915078</w:t>
      </w:r>
    </w:p>
    <w:p>
      <w:pPr>
        <w:spacing w:line="540" w:lineRule="exact"/>
        <w:ind w:firstLine="660"/>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六、投标有关规定</w:t>
      </w:r>
      <w:bookmarkEnd w:id="5"/>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超过投标截止时间、不按本招标文件规定密封的投标书或不按招标文件规定提交足额投标保证金的投标书，招标人概不接受。</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七、投标报名注意事项</w:t>
      </w:r>
    </w:p>
    <w:p>
      <w:pPr>
        <w:spacing w:line="540" w:lineRule="exact"/>
        <w:ind w:firstLine="660"/>
        <w:rPr>
          <w:rFonts w:ascii="宋体" w:hAnsi="宋体" w:cs="宋体"/>
          <w:kern w:val="0"/>
          <w:sz w:val="28"/>
          <w:szCs w:val="28"/>
        </w:rPr>
      </w:pPr>
      <w:r>
        <w:rPr>
          <w:rFonts w:hint="eastAsia" w:ascii="宋体" w:hAnsi="宋体" w:cs="宋体"/>
          <w:kern w:val="0"/>
          <w:sz w:val="28"/>
          <w:szCs w:val="28"/>
        </w:rPr>
        <w:t>1、本次招标原则上只接受现场报名。</w:t>
      </w:r>
    </w:p>
    <w:p>
      <w:pPr>
        <w:spacing w:line="540" w:lineRule="exact"/>
        <w:ind w:firstLine="660"/>
        <w:rPr>
          <w:rFonts w:ascii="宋体" w:hAnsi="宋体" w:cs="宋体"/>
          <w:kern w:val="0"/>
          <w:sz w:val="28"/>
          <w:szCs w:val="28"/>
        </w:rPr>
      </w:pPr>
      <w:r>
        <w:rPr>
          <w:rFonts w:hint="eastAsia" w:ascii="宋体" w:hAnsi="宋体" w:cs="宋体"/>
          <w:kern w:val="0"/>
          <w:sz w:val="28"/>
          <w:szCs w:val="28"/>
        </w:rPr>
        <w:t>2、学校按规定成立的询价小组，对投标人进行资格审查（初审），对符合条件者进行评审，后按汇总报价由低到高顺序确定中标人。</w:t>
      </w:r>
    </w:p>
    <w:p>
      <w:pPr>
        <w:spacing w:line="540" w:lineRule="exact"/>
        <w:ind w:firstLine="660"/>
        <w:rPr>
          <w:rFonts w:ascii="宋体" w:hAnsi="宋体" w:cs="宋体"/>
          <w:kern w:val="0"/>
          <w:sz w:val="28"/>
          <w:szCs w:val="28"/>
        </w:rPr>
      </w:pPr>
      <w:r>
        <w:rPr>
          <w:rFonts w:hint="eastAsia" w:ascii="宋体" w:hAnsi="宋体" w:cs="宋体"/>
          <w:kern w:val="0"/>
          <w:sz w:val="28"/>
          <w:szCs w:val="28"/>
        </w:rPr>
        <w:t>3、无论投标人是否中标，投标人应自行承担其编制与递交投标文件所涉及的一切费用。</w:t>
      </w:r>
    </w:p>
    <w:p>
      <w:pPr>
        <w:spacing w:line="540" w:lineRule="exact"/>
        <w:ind w:firstLine="660"/>
        <w:rPr>
          <w:rFonts w:ascii="宋体" w:hAnsi="宋体" w:cs="宋体"/>
          <w:b/>
          <w:bCs/>
          <w:kern w:val="0"/>
          <w:sz w:val="28"/>
          <w:szCs w:val="28"/>
        </w:rPr>
      </w:pPr>
      <w:bookmarkStart w:id="6" w:name="_Toc434931523"/>
      <w:r>
        <w:rPr>
          <w:rFonts w:hint="eastAsia" w:ascii="宋体" w:hAnsi="宋体" w:cs="宋体"/>
          <w:b/>
          <w:bCs/>
          <w:kern w:val="0"/>
          <w:sz w:val="28"/>
          <w:szCs w:val="28"/>
        </w:rPr>
        <w:t>八、联系方式及地址</w:t>
      </w:r>
    </w:p>
    <w:p>
      <w:pPr>
        <w:spacing w:line="540" w:lineRule="exact"/>
        <w:ind w:firstLine="66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eastAsia="zh-CN"/>
        </w:rPr>
        <w:t>、</w:t>
      </w:r>
      <w:r>
        <w:rPr>
          <w:rFonts w:hint="eastAsia"/>
        </w:rPr>
        <w:t xml:space="preserve"> </w:t>
      </w:r>
      <w:r>
        <w:rPr>
          <w:rFonts w:hint="eastAsia" w:ascii="宋体" w:hAnsi="宋体" w:cs="宋体"/>
          <w:kern w:val="0"/>
          <w:sz w:val="28"/>
          <w:szCs w:val="28"/>
        </w:rPr>
        <w:t>报名咨询：李老师          联系电话：15025481080</w:t>
      </w:r>
    </w:p>
    <w:p>
      <w:pPr>
        <w:spacing w:line="540" w:lineRule="exact"/>
        <w:ind w:firstLine="1078" w:firstLineChars="385"/>
        <w:rPr>
          <w:rFonts w:ascii="宋体" w:hAnsi="宋体" w:cs="宋体"/>
          <w:kern w:val="0"/>
          <w:sz w:val="28"/>
          <w:szCs w:val="28"/>
        </w:rPr>
      </w:pPr>
      <w:r>
        <w:rPr>
          <w:rFonts w:hint="eastAsia" w:ascii="宋体" w:hAnsi="宋体" w:cs="宋体"/>
          <w:kern w:val="0"/>
          <w:sz w:val="28"/>
          <w:szCs w:val="28"/>
        </w:rPr>
        <w:t xml:space="preserve">项目咨询：向老师          联系电话：023-65915080   </w:t>
      </w:r>
    </w:p>
    <w:p>
      <w:pPr>
        <w:spacing w:line="540" w:lineRule="exact"/>
        <w:ind w:firstLine="660"/>
        <w:rPr>
          <w:rFonts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eastAsia="zh-CN"/>
        </w:rPr>
        <w:t>、</w:t>
      </w:r>
      <w:bookmarkStart w:id="9" w:name="_GoBack"/>
      <w:bookmarkEnd w:id="9"/>
      <w:r>
        <w:rPr>
          <w:rFonts w:hint="eastAsia" w:ascii="宋体" w:hAnsi="宋体" w:cs="宋体"/>
          <w:kern w:val="0"/>
          <w:sz w:val="28"/>
          <w:szCs w:val="28"/>
        </w:rPr>
        <w:t>采购人地址：重庆市沙坪坝区张家湾50号</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九、监督机构</w:t>
      </w:r>
    </w:p>
    <w:p>
      <w:pPr>
        <w:spacing w:line="540" w:lineRule="exact"/>
        <w:ind w:firstLine="660"/>
        <w:rPr>
          <w:rFonts w:ascii="宋体" w:hAnsi="宋体" w:cs="宋体"/>
          <w:kern w:val="0"/>
          <w:sz w:val="28"/>
          <w:szCs w:val="28"/>
        </w:rPr>
      </w:pPr>
      <w:r>
        <w:rPr>
          <w:rFonts w:hint="eastAsia" w:ascii="宋体" w:hAnsi="宋体" w:cs="宋体"/>
          <w:kern w:val="0"/>
          <w:sz w:val="28"/>
          <w:szCs w:val="28"/>
        </w:rPr>
        <w:t>监督人：重庆铁路运输高级技工学校纪委</w:t>
      </w:r>
    </w:p>
    <w:p>
      <w:pPr>
        <w:spacing w:line="540" w:lineRule="exact"/>
        <w:ind w:firstLine="660"/>
        <w:rPr>
          <w:rFonts w:ascii="宋体" w:hAnsi="宋体" w:cs="宋体"/>
          <w:b/>
          <w:bCs/>
          <w:kern w:val="0"/>
          <w:sz w:val="28"/>
          <w:szCs w:val="28"/>
        </w:rPr>
      </w:pPr>
      <w:r>
        <w:rPr>
          <w:rFonts w:hint="eastAsia" w:ascii="宋体" w:hAnsi="宋体" w:cs="宋体"/>
          <w:kern w:val="0"/>
          <w:sz w:val="28"/>
          <w:szCs w:val="28"/>
        </w:rPr>
        <w:t>监督电话：</w:t>
      </w:r>
      <w:r>
        <w:rPr>
          <w:rFonts w:ascii="宋体" w:hAnsi="宋体"/>
          <w:kern w:val="0"/>
          <w:sz w:val="28"/>
          <w:szCs w:val="28"/>
        </w:rPr>
        <w:t>023-65915082</w:t>
      </w:r>
    </w:p>
    <w:p>
      <w:pPr>
        <w:spacing w:line="540" w:lineRule="exact"/>
        <w:ind w:firstLine="660"/>
        <w:jc w:val="center"/>
        <w:rPr>
          <w:rFonts w:ascii="方正小标宋简体" w:hAnsi="仿宋" w:eastAsia="方正小标宋简体" w:cs="宋体"/>
          <w:bCs/>
          <w:kern w:val="36"/>
          <w:sz w:val="44"/>
          <w:szCs w:val="44"/>
        </w:rPr>
      </w:pPr>
    </w:p>
    <w:bookmarkEnd w:id="6"/>
    <w:p>
      <w:pPr>
        <w:spacing w:line="540" w:lineRule="exact"/>
        <w:ind w:firstLine="660"/>
        <w:rPr>
          <w:rFonts w:cs="宋体" w:asciiTheme="minorEastAsia" w:hAnsiTheme="minorEastAsia" w:eastAsiaTheme="minorEastAsia"/>
          <w:kern w:val="0"/>
          <w:sz w:val="28"/>
          <w:szCs w:val="28"/>
        </w:rPr>
      </w:pPr>
      <w:bookmarkStart w:id="7" w:name="_Toc361131470"/>
      <w:r>
        <w:rPr>
          <w:rFonts w:hint="eastAsia" w:cs="宋体" w:asciiTheme="minorEastAsia" w:hAnsiTheme="minorEastAsia" w:eastAsiaTheme="minorEastAsia"/>
          <w:kern w:val="0"/>
          <w:sz w:val="28"/>
          <w:szCs w:val="28"/>
        </w:rPr>
        <w:br w:type="page"/>
      </w:r>
      <w:r>
        <w:rPr>
          <w:rFonts w:hint="eastAsia" w:cs="宋体" w:asciiTheme="minorEastAsia" w:hAnsiTheme="minorEastAsia" w:eastAsiaTheme="minorEastAsia"/>
          <w:kern w:val="0"/>
          <w:sz w:val="28"/>
          <w:szCs w:val="28"/>
        </w:rPr>
        <w:t xml:space="preserve"> 格式：</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637"/>
        <w:gridCol w:w="873"/>
        <w:gridCol w:w="701"/>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657"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971" w:type="dxa"/>
            <w:gridSpan w:val="6"/>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657"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项目编号</w:t>
            </w:r>
          </w:p>
        </w:tc>
        <w:tc>
          <w:tcPr>
            <w:tcW w:w="1637"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c>
        <w:tc>
          <w:tcPr>
            <w:tcW w:w="873"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 量</w:t>
            </w:r>
          </w:p>
        </w:tc>
        <w:tc>
          <w:tcPr>
            <w:tcW w:w="701"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w:t>
            </w:r>
          </w:p>
        </w:tc>
        <w:tc>
          <w:tcPr>
            <w:tcW w:w="224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单位（元）</w:t>
            </w:r>
          </w:p>
        </w:tc>
        <w:tc>
          <w:tcPr>
            <w:tcW w:w="1176"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交货期</w:t>
            </w:r>
          </w:p>
        </w:tc>
        <w:tc>
          <w:tcPr>
            <w:tcW w:w="1344"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657" w:type="dxa"/>
            <w:tcBorders>
              <w:bottom w:val="single" w:color="auto" w:sz="4" w:space="0"/>
            </w:tcBorders>
            <w:vAlign w:val="center"/>
          </w:tcPr>
          <w:p>
            <w:pPr>
              <w:spacing w:line="540" w:lineRule="exact"/>
              <w:ind w:firstLine="660"/>
              <w:rPr>
                <w:rFonts w:cs="宋体" w:asciiTheme="minorEastAsia" w:hAnsiTheme="minorEastAsia" w:eastAsiaTheme="minorEastAsia"/>
                <w:kern w:val="0"/>
                <w:sz w:val="28"/>
                <w:szCs w:val="28"/>
              </w:rPr>
            </w:pPr>
          </w:p>
        </w:tc>
        <w:tc>
          <w:tcPr>
            <w:tcW w:w="1637"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873"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701"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2240"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1176"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1344"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7"/>
            <w:tcBorders>
              <w:bottom w:val="single" w:color="auto" w:sz="4" w:space="0"/>
            </w:tcBorders>
            <w:vAlign w:val="center"/>
          </w:tcPr>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7"/>
            <w:vAlign w:val="center"/>
          </w:tcPr>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（投标人公章）                   （签字或盖章）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r>
        <w:rPr>
          <w:rFonts w:hint="eastAsia" w:cs="宋体" w:asciiTheme="minorEastAsia" w:hAnsiTheme="minorEastAsia" w:eastAsiaTheme="minorEastAsia"/>
          <w:kern w:val="0"/>
          <w:sz w:val="28"/>
          <w:szCs w:val="28"/>
        </w:rPr>
        <w:t>（二）分项报价明细表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bl>
      <w:tblPr>
        <w:tblStyle w:val="11"/>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419"/>
        <w:gridCol w:w="1586"/>
        <w:gridCol w:w="1320"/>
        <w:gridCol w:w="1321"/>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213" w:type="dxa"/>
            <w:vAlign w:val="center"/>
          </w:tcPr>
          <w:p>
            <w:pPr>
              <w:ind w:firstLine="420" w:firstLineChars="200"/>
              <w:rPr>
                <w:rFonts w:ascii="Calibri" w:hAnsi="Calibri" w:cs="宋体"/>
              </w:rPr>
            </w:pPr>
            <w:r>
              <w:rPr>
                <w:rFonts w:hint="eastAsia" w:ascii="Calibri" w:hAnsi="Calibri" w:cs="宋体"/>
              </w:rPr>
              <w:t>序号</w:t>
            </w:r>
          </w:p>
        </w:tc>
        <w:tc>
          <w:tcPr>
            <w:tcW w:w="1419" w:type="dxa"/>
            <w:vAlign w:val="center"/>
          </w:tcPr>
          <w:p>
            <w:pPr>
              <w:ind w:firstLine="420" w:firstLineChars="200"/>
              <w:rPr>
                <w:rFonts w:ascii="Calibri" w:hAnsi="Calibri" w:cs="宋体"/>
              </w:rPr>
            </w:pPr>
            <w:r>
              <w:rPr>
                <w:rFonts w:hint="eastAsia" w:ascii="Calibri" w:hAnsi="Calibri" w:cs="宋体"/>
              </w:rPr>
              <w:t>名称</w:t>
            </w:r>
          </w:p>
        </w:tc>
        <w:tc>
          <w:tcPr>
            <w:tcW w:w="1586" w:type="dxa"/>
            <w:vAlign w:val="center"/>
          </w:tcPr>
          <w:p>
            <w:pPr>
              <w:ind w:firstLine="420" w:firstLineChars="200"/>
              <w:rPr>
                <w:rFonts w:ascii="Calibri" w:hAnsi="Calibri" w:cs="宋体"/>
              </w:rPr>
            </w:pPr>
            <w:r>
              <w:rPr>
                <w:rFonts w:hint="eastAsia" w:ascii="Calibri" w:hAnsi="Calibri" w:cs="宋体"/>
              </w:rPr>
              <w:t>单位</w:t>
            </w:r>
          </w:p>
        </w:tc>
        <w:tc>
          <w:tcPr>
            <w:tcW w:w="1320" w:type="dxa"/>
            <w:vAlign w:val="center"/>
          </w:tcPr>
          <w:p>
            <w:pPr>
              <w:rPr>
                <w:rFonts w:ascii="Calibri" w:hAnsi="Calibri" w:cs="宋体"/>
              </w:rPr>
            </w:pPr>
            <w:r>
              <w:rPr>
                <w:rFonts w:hint="eastAsia" w:ascii="Calibri" w:hAnsi="Calibri" w:cs="宋体"/>
              </w:rPr>
              <w:t>数量</w:t>
            </w:r>
          </w:p>
        </w:tc>
        <w:tc>
          <w:tcPr>
            <w:tcW w:w="1321" w:type="dxa"/>
            <w:vAlign w:val="center"/>
          </w:tcPr>
          <w:p>
            <w:pPr>
              <w:rPr>
                <w:rFonts w:ascii="Calibri" w:hAnsi="Calibri" w:cs="宋体"/>
              </w:rPr>
            </w:pPr>
            <w:r>
              <w:rPr>
                <w:rFonts w:hint="eastAsia" w:ascii="Calibri" w:hAnsi="Calibri" w:cs="宋体"/>
              </w:rPr>
              <w:t>单价</w:t>
            </w:r>
          </w:p>
        </w:tc>
        <w:tc>
          <w:tcPr>
            <w:tcW w:w="1320" w:type="dxa"/>
            <w:vAlign w:val="center"/>
          </w:tcPr>
          <w:p>
            <w:pPr>
              <w:rPr>
                <w:rFonts w:ascii="Calibri" w:hAnsi="Calibri" w:cs="宋体"/>
              </w:rPr>
            </w:pPr>
            <w:r>
              <w:rPr>
                <w:rFonts w:hint="eastAsia" w:ascii="Calibri" w:hAnsi="Calibri" w:cs="宋体"/>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213" w:type="dxa"/>
            <w:vAlign w:val="center"/>
          </w:tcPr>
          <w:p>
            <w:pPr>
              <w:ind w:firstLine="420" w:firstLineChars="200"/>
              <w:rPr>
                <w:rFonts w:ascii="Calibri" w:hAnsi="Calibri" w:cs="宋体"/>
              </w:rPr>
            </w:pPr>
            <w:r>
              <w:rPr>
                <w:rFonts w:hint="eastAsia" w:ascii="Calibri" w:hAnsi="Calibri" w:cs="宋体"/>
              </w:rPr>
              <w:t>1</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2</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213" w:type="dxa"/>
            <w:vAlign w:val="center"/>
          </w:tcPr>
          <w:p>
            <w:pPr>
              <w:ind w:firstLine="420" w:firstLineChars="200"/>
              <w:rPr>
                <w:rFonts w:ascii="Calibri" w:hAnsi="Calibri" w:cs="宋体"/>
              </w:rPr>
            </w:pPr>
            <w:r>
              <w:rPr>
                <w:rFonts w:hint="eastAsia" w:ascii="Calibri" w:hAnsi="Calibri" w:cs="宋体"/>
              </w:rPr>
              <w:t>3</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4</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5</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6</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7</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8</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213" w:type="dxa"/>
            <w:vAlign w:val="center"/>
          </w:tcPr>
          <w:p>
            <w:pPr>
              <w:ind w:firstLine="420" w:firstLineChars="200"/>
              <w:rPr>
                <w:rFonts w:ascii="Calibri" w:hAnsi="Calibri" w:cs="宋体"/>
              </w:rPr>
            </w:pPr>
          </w:p>
        </w:tc>
        <w:tc>
          <w:tcPr>
            <w:tcW w:w="1419" w:type="dxa"/>
            <w:vAlign w:val="center"/>
          </w:tcPr>
          <w:p>
            <w:pPr>
              <w:ind w:firstLine="420" w:firstLineChars="200"/>
              <w:rPr>
                <w:rFonts w:ascii="Calibri" w:hAnsi="Calibri" w:cs="宋体"/>
              </w:rPr>
            </w:pPr>
            <w:r>
              <w:rPr>
                <w:rFonts w:hint="eastAsia" w:ascii="Calibri" w:hAnsi="Calibri" w:cs="宋体"/>
              </w:rPr>
              <w:t>总计</w:t>
            </w: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bl>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（投标人公章）                      （签字或盖章）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1、请投标人完整填写本表，没有填写或填列不完整的按无分项报价明细处理；</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2、计价单位以“元”或“万元”计，无此项费用以“0”填写；</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3、该表可扩展，并逐页签字或盖章。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4、分项报价明细表中所填入的</w:t>
      </w:r>
      <w:r>
        <w:fldChar w:fldCharType="begin"/>
      </w:r>
      <w:r>
        <w:instrText xml:space="preserve"> HYPERLINK "https://www.baidu.com/s?wd=%E7%BB%BC%E5%90%88%E5%8D%95%E4%BB%B7&amp;tn=SE_PcZhidaonwhc_ngpagmjz&amp;rsv_dl=gh_pc_zhidao" \t "https://zhidao.baidu.com/question/_blank" </w:instrText>
      </w:r>
      <w:r>
        <w:fldChar w:fldCharType="separate"/>
      </w:r>
      <w:r>
        <w:rPr>
          <w:rFonts w:hint="eastAsia" w:cs="宋体" w:asciiTheme="minorEastAsia" w:hAnsiTheme="minorEastAsia" w:eastAsiaTheme="minorEastAsia"/>
          <w:kern w:val="0"/>
          <w:sz w:val="28"/>
          <w:szCs w:val="28"/>
        </w:rPr>
        <w:t>单价</w:t>
      </w:r>
      <w:r>
        <w:rPr>
          <w:rFonts w:hint="eastAsia" w:cs="宋体" w:asciiTheme="minorEastAsia" w:hAnsiTheme="minorEastAsia" w:eastAsiaTheme="minorEastAsia"/>
          <w:kern w:val="0"/>
          <w:sz w:val="28"/>
          <w:szCs w:val="28"/>
        </w:rPr>
        <w:fldChar w:fldCharType="end"/>
      </w:r>
      <w:r>
        <w:rPr>
          <w:rFonts w:hint="eastAsia" w:cs="宋体" w:asciiTheme="minorEastAsia" w:hAnsiTheme="minorEastAsia" w:eastAsiaTheme="minorEastAsia"/>
          <w:kern w:val="0"/>
          <w:sz w:val="28"/>
          <w:szCs w:val="28"/>
        </w:rPr>
        <w:t>和合计、总计均包括人工费、材料费、机械费、管理费、利润、税金以及风险金等全部费用。 </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5、投标人报价不得超过招标人发布的最高限价，否则，作废标处理。</w:t>
      </w:r>
    </w:p>
    <w:p>
      <w:pPr>
        <w:spacing w:line="540" w:lineRule="exact"/>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（三）法定代表人身份证明书（格式）</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采购项目名称：</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（采购代理机构名称）：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（法定代表人姓名）在                    （投标人名称）任       （职务名称）职务，是（投标人名称）                   的法定代表人。</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特此证明。</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（投标人公章）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（附：法定代表人身份证复印件）</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column"/>
      </w:r>
      <w:r>
        <w:rPr>
          <w:rFonts w:hint="eastAsia" w:cs="宋体" w:asciiTheme="minorEastAsia" w:hAnsiTheme="minorEastAsia" w:eastAsiaTheme="minorEastAsia"/>
          <w:kern w:val="0"/>
          <w:sz w:val="28"/>
          <w:szCs w:val="28"/>
        </w:rPr>
        <w:t>（四）法定代表人授权委托书（格式）</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采购项目名称：                   </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（采购代理机构名称）：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我单位对被授权人的签字负全部责任。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在撤消授权的书面通知以前，本授权书一直有效。被授权人在授权书有效期内签署的所有文件不因授权的撤消而失效。</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被授权人：                          投标人法定代表人：</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（签字或盖章）                            （签字或盖章）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（附：被授权人身份证复印件）</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column"/>
      </w:r>
      <w:r>
        <w:rPr>
          <w:rFonts w:hint="eastAsia" w:cs="宋体" w:asciiTheme="minorEastAsia" w:hAnsiTheme="minorEastAsia" w:eastAsiaTheme="minorEastAsia"/>
          <w:kern w:val="0"/>
          <w:sz w:val="28"/>
          <w:szCs w:val="28"/>
        </w:rPr>
        <w:t>（五）诚信声明</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采购项目名称：                   </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特此声明。</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（六）投标函（格式）</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采购项目名称：                   </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（投标人名称）系中华人民共和国合法企业，注册地址：                   。我方就参加本次投标有关事项郑重声明如下：</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一、我方完全理解并接受该项目招标文件所有要求。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二、我方提交的所有投标文件、资料都是准确和真实的，如有虚假或隐瞒，我方愿意承担一切法律责任。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三、我方承诺按照招标文件要求，提供招标项目的技术服务。</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四、我方按招标文件要求提交的投标文件为：投标文件正本1份，副本2份。</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五、我方承诺：本次投标的投标有效期为30天。</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六、我方投标报价为闭口价。即在投标有效期和合同有效期内，该报价固定不变。</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七、如果我方中标，我方将履行招标文件中规定的各项要求以及我方投标文件的各项承诺，按《政府采购法》、《合同法》及合同约定条款承担我方责任。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八、我方理解，最低报价不是中标的唯一条件。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九、我方同意按有关规定及招标文件要求，缴纳足额投标保证金。</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w:t>
      </w:r>
    </w:p>
    <w:p>
      <w:pPr>
        <w:spacing w:line="540" w:lineRule="exact"/>
        <w:ind w:firstLine="5600" w:firstLineChars="20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w:t>
      </w:r>
      <w:bookmarkStart w:id="8" w:name="_Toc161727403"/>
      <w:r>
        <w:rPr>
          <w:rFonts w:hint="eastAsia" w:cs="宋体" w:asciiTheme="minorEastAsia" w:hAnsiTheme="minorEastAsia" w:eastAsiaTheme="minorEastAsia"/>
          <w:kern w:val="0"/>
          <w:sz w:val="28"/>
          <w:szCs w:val="28"/>
        </w:rPr>
        <w:t>商务条款差异表</w:t>
      </w:r>
      <w:bookmarkEnd w:id="8"/>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bl>
      <w:tblPr>
        <w:tblStyle w:val="11"/>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242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招标商务要求</w:t>
            </w:r>
          </w:p>
        </w:tc>
        <w:tc>
          <w:tcPr>
            <w:tcW w:w="252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投标商务应答</w:t>
            </w:r>
          </w:p>
        </w:tc>
        <w:tc>
          <w:tcPr>
            <w:tcW w:w="18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bl>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660"/>
        <w:rPr>
          <w:rFonts w:cs="宋体" w:asciiTheme="minorEastAsia" w:hAnsiTheme="minorEastAsia" w:eastAsiaTheme="minorEastAsia"/>
          <w:kern w:val="0"/>
          <w:sz w:val="28"/>
          <w:szCs w:val="28"/>
        </w:rPr>
      </w:pP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1、本表即为对本项目“第三篇 项目商务要求”中所列商务条款进行比较和响应；</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2、该表必须按照招标文件要求逐条如实填写，根据投标情况在“差异说明”项填写正偏离或负偏离及原因，完全符合的填写“无差异”。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（八）技术条款差异表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bl>
      <w:tblPr>
        <w:tblStyle w:val="11"/>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2428" w:type="dxa"/>
            <w:vAlign w:val="center"/>
          </w:tcPr>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招标要求</w:t>
            </w:r>
          </w:p>
        </w:tc>
        <w:tc>
          <w:tcPr>
            <w:tcW w:w="2520" w:type="dxa"/>
            <w:vAlign w:val="center"/>
          </w:tcPr>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投标应答</w:t>
            </w:r>
          </w:p>
        </w:tc>
        <w:tc>
          <w:tcPr>
            <w:tcW w:w="1888"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660"/>
              <w:rPr>
                <w:rFonts w:cs="宋体" w:asciiTheme="minorEastAsia" w:hAnsiTheme="minorEastAsia" w:eastAsiaTheme="minorEastAsia"/>
                <w:kern w:val="0"/>
                <w:sz w:val="28"/>
                <w:szCs w:val="28"/>
              </w:rPr>
            </w:pPr>
          </w:p>
        </w:tc>
        <w:tc>
          <w:tcPr>
            <w:tcW w:w="2428" w:type="dxa"/>
            <w:vAlign w:val="center"/>
          </w:tcPr>
          <w:p>
            <w:pPr>
              <w:spacing w:line="540" w:lineRule="exact"/>
              <w:ind w:firstLine="660"/>
              <w:rPr>
                <w:rFonts w:cs="宋体" w:asciiTheme="minorEastAsia" w:hAnsiTheme="minorEastAsia" w:eastAsiaTheme="minorEastAsia"/>
                <w:kern w:val="0"/>
                <w:sz w:val="28"/>
                <w:szCs w:val="28"/>
              </w:rPr>
            </w:pPr>
          </w:p>
        </w:tc>
        <w:tc>
          <w:tcPr>
            <w:tcW w:w="2520" w:type="dxa"/>
            <w:vAlign w:val="center"/>
          </w:tcPr>
          <w:p>
            <w:pPr>
              <w:spacing w:line="540" w:lineRule="exact"/>
              <w:ind w:firstLine="660"/>
              <w:rPr>
                <w:rFonts w:cs="宋体" w:asciiTheme="minorEastAsia" w:hAnsiTheme="minorEastAsia" w:eastAsiaTheme="minorEastAsia"/>
                <w:kern w:val="0"/>
                <w:sz w:val="28"/>
                <w:szCs w:val="28"/>
              </w:rPr>
            </w:pPr>
          </w:p>
        </w:tc>
        <w:tc>
          <w:tcPr>
            <w:tcW w:w="1888" w:type="dxa"/>
            <w:vAlign w:val="center"/>
          </w:tcPr>
          <w:p>
            <w:pPr>
              <w:spacing w:line="540" w:lineRule="exact"/>
              <w:ind w:firstLine="660"/>
              <w:rPr>
                <w:rFonts w:cs="宋体" w:asciiTheme="minorEastAsia" w:hAnsiTheme="minorEastAsia" w:eastAsiaTheme="minorEastAsia"/>
                <w:kern w:val="0"/>
                <w:sz w:val="28"/>
                <w:szCs w:val="28"/>
              </w:rPr>
            </w:pPr>
          </w:p>
        </w:tc>
      </w:tr>
    </w:tbl>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1、本表即为对本项目“第二篇  项目数量及质量要求”中所列技术要求进行比较和响应；</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2、该表必须按照招标文件要求逐条如实填写，根据投标情况在“差异说明”项填写正偏离或负偏离及原因，完全符合的填写“无差异”；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4、可附相关技术支撑材料。（格式自定）</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（结束）</w:t>
      </w:r>
    </w:p>
    <w:p>
      <w:pPr>
        <w:spacing w:line="540" w:lineRule="exact"/>
        <w:rPr>
          <w:rFonts w:asciiTheme="minorEastAsia" w:hAnsiTheme="minorEastAsia" w:eastAsiaTheme="minorEastAsia"/>
          <w:b/>
          <w:sz w:val="28"/>
          <w:szCs w:val="28"/>
        </w:rPr>
      </w:pPr>
    </w:p>
    <w:bookmarkEnd w:id="7"/>
    <w:p>
      <w:pPr>
        <w:spacing w:line="540" w:lineRule="exact"/>
        <w:ind w:firstLine="660"/>
        <w:rPr>
          <w:rFonts w:asciiTheme="minorEastAsia" w:hAnsiTheme="minorEastAsia" w:eastAsia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2ZTMzYzlkOGE0Zjc2NzJiNWY3Njk0YjBiMzg2N2EifQ=="/>
  </w:docVars>
  <w:rsids>
    <w:rsidRoot w:val="00504C3B"/>
    <w:rsid w:val="00015B15"/>
    <w:rsid w:val="0002446B"/>
    <w:rsid w:val="00081A3C"/>
    <w:rsid w:val="00090BC8"/>
    <w:rsid w:val="000B2828"/>
    <w:rsid w:val="001018BA"/>
    <w:rsid w:val="0012557A"/>
    <w:rsid w:val="001A3D1B"/>
    <w:rsid w:val="001B28DA"/>
    <w:rsid w:val="001C7E15"/>
    <w:rsid w:val="001F3385"/>
    <w:rsid w:val="00211517"/>
    <w:rsid w:val="00234942"/>
    <w:rsid w:val="00246186"/>
    <w:rsid w:val="0025407A"/>
    <w:rsid w:val="00261417"/>
    <w:rsid w:val="00285A30"/>
    <w:rsid w:val="002A4C0C"/>
    <w:rsid w:val="002B6971"/>
    <w:rsid w:val="002D0BED"/>
    <w:rsid w:val="00300C67"/>
    <w:rsid w:val="00364257"/>
    <w:rsid w:val="00377710"/>
    <w:rsid w:val="0038002A"/>
    <w:rsid w:val="003867E6"/>
    <w:rsid w:val="003F0385"/>
    <w:rsid w:val="00477417"/>
    <w:rsid w:val="004E5D7E"/>
    <w:rsid w:val="00504C3B"/>
    <w:rsid w:val="00536041"/>
    <w:rsid w:val="00545BFA"/>
    <w:rsid w:val="00554086"/>
    <w:rsid w:val="00581522"/>
    <w:rsid w:val="005A7B6C"/>
    <w:rsid w:val="005B5C11"/>
    <w:rsid w:val="005C0357"/>
    <w:rsid w:val="005D7A78"/>
    <w:rsid w:val="00620040"/>
    <w:rsid w:val="006A7795"/>
    <w:rsid w:val="006B7F44"/>
    <w:rsid w:val="006C29A0"/>
    <w:rsid w:val="00716A01"/>
    <w:rsid w:val="00754115"/>
    <w:rsid w:val="00756384"/>
    <w:rsid w:val="007A07EE"/>
    <w:rsid w:val="007A1512"/>
    <w:rsid w:val="007B5B7D"/>
    <w:rsid w:val="00812165"/>
    <w:rsid w:val="008158F0"/>
    <w:rsid w:val="00824570"/>
    <w:rsid w:val="008417AF"/>
    <w:rsid w:val="00857AE3"/>
    <w:rsid w:val="00863D2D"/>
    <w:rsid w:val="0088072B"/>
    <w:rsid w:val="008C729F"/>
    <w:rsid w:val="008E2529"/>
    <w:rsid w:val="00921CC4"/>
    <w:rsid w:val="00960723"/>
    <w:rsid w:val="009730AA"/>
    <w:rsid w:val="009872F8"/>
    <w:rsid w:val="009A4767"/>
    <w:rsid w:val="009A7BE1"/>
    <w:rsid w:val="009B6946"/>
    <w:rsid w:val="009C3912"/>
    <w:rsid w:val="00A4225B"/>
    <w:rsid w:val="00A51C3C"/>
    <w:rsid w:val="00A67A79"/>
    <w:rsid w:val="00A70230"/>
    <w:rsid w:val="00A7461C"/>
    <w:rsid w:val="00A849E7"/>
    <w:rsid w:val="00AB7F41"/>
    <w:rsid w:val="00B62B00"/>
    <w:rsid w:val="00B7214D"/>
    <w:rsid w:val="00BC246A"/>
    <w:rsid w:val="00BC4EF5"/>
    <w:rsid w:val="00BE3EC9"/>
    <w:rsid w:val="00BF6035"/>
    <w:rsid w:val="00C23DC1"/>
    <w:rsid w:val="00C46199"/>
    <w:rsid w:val="00C9219F"/>
    <w:rsid w:val="00C9319F"/>
    <w:rsid w:val="00CD7985"/>
    <w:rsid w:val="00DA6062"/>
    <w:rsid w:val="00DF314B"/>
    <w:rsid w:val="00DF7A82"/>
    <w:rsid w:val="00E0503F"/>
    <w:rsid w:val="00E07EA6"/>
    <w:rsid w:val="00E31843"/>
    <w:rsid w:val="00E319DD"/>
    <w:rsid w:val="00E36726"/>
    <w:rsid w:val="00E419BC"/>
    <w:rsid w:val="00E43ADE"/>
    <w:rsid w:val="00E8515D"/>
    <w:rsid w:val="00E95D66"/>
    <w:rsid w:val="00F13540"/>
    <w:rsid w:val="00F4648D"/>
    <w:rsid w:val="00F70212"/>
    <w:rsid w:val="00F73F35"/>
    <w:rsid w:val="00F77B72"/>
    <w:rsid w:val="00F92A88"/>
    <w:rsid w:val="00FB2F6D"/>
    <w:rsid w:val="00FD17A4"/>
    <w:rsid w:val="0F8F190A"/>
    <w:rsid w:val="1DD629A5"/>
    <w:rsid w:val="1ED50A2A"/>
    <w:rsid w:val="46CE7031"/>
    <w:rsid w:val="4A9E3976"/>
    <w:rsid w:val="4CF9354D"/>
    <w:rsid w:val="61793DD3"/>
    <w:rsid w:val="62A62CAF"/>
    <w:rsid w:val="78D57DC2"/>
    <w:rsid w:val="790D22CD"/>
    <w:rsid w:val="79E0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Indent"/>
    <w:basedOn w:val="1"/>
    <w:link w:val="17"/>
    <w:qFormat/>
    <w:uiPriority w:val="0"/>
    <w:pPr>
      <w:spacing w:line="700" w:lineRule="exact"/>
      <w:ind w:left="960"/>
    </w:pPr>
    <w:rPr>
      <w:sz w:val="44"/>
      <w:szCs w:val="20"/>
    </w:rPr>
  </w:style>
  <w:style w:type="paragraph" w:styleId="6">
    <w:name w:val="Date"/>
    <w:basedOn w:val="1"/>
    <w:next w:val="1"/>
    <w:link w:val="22"/>
    <w:qFormat/>
    <w:uiPriority w:val="0"/>
    <w:rPr>
      <w:rFonts w:asciiTheme="minorHAnsi" w:hAnsiTheme="minorHAnsi" w:eastAsiaTheme="minorEastAsia" w:cstheme="minorBidi"/>
      <w:sz w:val="28"/>
      <w:szCs w:val="22"/>
    </w:rPr>
  </w:style>
  <w:style w:type="paragraph" w:styleId="7">
    <w:name w:val="Body Text Indent 2"/>
    <w:basedOn w:val="1"/>
    <w:link w:val="25"/>
    <w:unhideWhenUsed/>
    <w:qFormat/>
    <w:uiPriority w:val="99"/>
    <w:pPr>
      <w:spacing w:after="120" w:line="480" w:lineRule="auto"/>
      <w:ind w:left="420" w:leftChars="200"/>
    </w:pPr>
    <w:rPr>
      <w:sz w:val="28"/>
      <w:szCs w:val="20"/>
    </w:rPr>
  </w:style>
  <w:style w:type="paragraph" w:styleId="8">
    <w:name w:val="Balloon Text"/>
    <w:basedOn w:val="1"/>
    <w:link w:val="24"/>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10"/>
    <w:semiHidden/>
    <w:qFormat/>
    <w:uiPriority w:val="99"/>
    <w:rPr>
      <w:sz w:val="18"/>
      <w:szCs w:val="18"/>
    </w:rPr>
  </w:style>
  <w:style w:type="character" w:customStyle="1" w:styleId="15">
    <w:name w:val="页脚 Char"/>
    <w:basedOn w:val="13"/>
    <w:link w:val="9"/>
    <w:semiHidden/>
    <w:qFormat/>
    <w:uiPriority w:val="99"/>
    <w:rPr>
      <w:sz w:val="18"/>
      <w:szCs w:val="18"/>
    </w:rPr>
  </w:style>
  <w:style w:type="character" w:customStyle="1" w:styleId="16">
    <w:name w:val="标题 1 Char"/>
    <w:basedOn w:val="13"/>
    <w:link w:val="2"/>
    <w:qFormat/>
    <w:uiPriority w:val="0"/>
    <w:rPr>
      <w:rFonts w:ascii="宋体" w:hAnsi="宋体" w:eastAsia="宋体" w:cs="宋体"/>
      <w:b/>
      <w:bCs/>
      <w:kern w:val="36"/>
      <w:sz w:val="48"/>
      <w:szCs w:val="48"/>
    </w:rPr>
  </w:style>
  <w:style w:type="character" w:customStyle="1" w:styleId="17">
    <w:name w:val="正文文本缩进 Char"/>
    <w:basedOn w:val="13"/>
    <w:link w:val="5"/>
    <w:qFormat/>
    <w:uiPriority w:val="0"/>
    <w:rPr>
      <w:rFonts w:ascii="Times New Roman" w:hAnsi="Times New Roman" w:eastAsia="宋体" w:cs="Times New Roman"/>
      <w:sz w:val="44"/>
      <w:szCs w:val="20"/>
    </w:rPr>
  </w:style>
  <w:style w:type="character" w:customStyle="1" w:styleId="18">
    <w:name w:val="标题 2 Char"/>
    <w:basedOn w:val="13"/>
    <w:link w:val="3"/>
    <w:qFormat/>
    <w:uiPriority w:val="0"/>
    <w:rPr>
      <w:rFonts w:asciiTheme="majorHAnsi" w:hAnsiTheme="majorHAnsi" w:eastAsiaTheme="majorEastAsia" w:cstheme="majorBidi"/>
      <w:b/>
      <w:bCs/>
      <w:sz w:val="32"/>
      <w:szCs w:val="32"/>
    </w:rPr>
  </w:style>
  <w:style w:type="paragraph" w:customStyle="1" w:styleId="19">
    <w:name w:val="列出段落1"/>
    <w:basedOn w:val="1"/>
    <w:qFormat/>
    <w:uiPriority w:val="34"/>
    <w:pPr>
      <w:ind w:firstLine="420" w:firstLineChars="200"/>
    </w:pPr>
  </w:style>
  <w:style w:type="paragraph" w:customStyle="1" w:styleId="20">
    <w:name w:val="图例"/>
    <w:basedOn w:val="1"/>
    <w:qFormat/>
    <w:uiPriority w:val="0"/>
    <w:pPr>
      <w:spacing w:before="120" w:after="120" w:line="360" w:lineRule="auto"/>
      <w:jc w:val="center"/>
    </w:pPr>
    <w:rPr>
      <w:rFonts w:eastAsia="仿宋_GB2312"/>
      <w:b/>
      <w:sz w:val="24"/>
      <w:szCs w:val="20"/>
    </w:rPr>
  </w:style>
  <w:style w:type="character" w:customStyle="1" w:styleId="21">
    <w:name w:val="日期 Char"/>
    <w:qFormat/>
    <w:uiPriority w:val="0"/>
    <w:rPr>
      <w:sz w:val="28"/>
    </w:rPr>
  </w:style>
  <w:style w:type="character" w:customStyle="1" w:styleId="22">
    <w:name w:val="日期 Char1"/>
    <w:basedOn w:val="13"/>
    <w:link w:val="6"/>
    <w:semiHidden/>
    <w:qFormat/>
    <w:uiPriority w:val="99"/>
    <w:rPr>
      <w:rFonts w:ascii="Times New Roman" w:hAnsi="Times New Roman" w:eastAsia="宋体" w:cs="Times New Roman"/>
      <w:szCs w:val="24"/>
    </w:rPr>
  </w:style>
  <w:style w:type="character" w:customStyle="1" w:styleId="23">
    <w:name w:val="标题 3 Char"/>
    <w:basedOn w:val="13"/>
    <w:link w:val="4"/>
    <w:semiHidden/>
    <w:qFormat/>
    <w:uiPriority w:val="9"/>
    <w:rPr>
      <w:rFonts w:ascii="Times New Roman" w:hAnsi="Times New Roman" w:eastAsia="宋体" w:cs="Times New Roman"/>
      <w:b/>
      <w:bCs/>
      <w:sz w:val="32"/>
      <w:szCs w:val="32"/>
    </w:rPr>
  </w:style>
  <w:style w:type="character" w:customStyle="1" w:styleId="24">
    <w:name w:val="批注框文本 Char"/>
    <w:basedOn w:val="13"/>
    <w:link w:val="8"/>
    <w:semiHidden/>
    <w:qFormat/>
    <w:uiPriority w:val="99"/>
    <w:rPr>
      <w:rFonts w:ascii="Times New Roman" w:hAnsi="Times New Roman" w:eastAsia="宋体" w:cs="Times New Roman"/>
      <w:sz w:val="18"/>
      <w:szCs w:val="18"/>
    </w:rPr>
  </w:style>
  <w:style w:type="character" w:customStyle="1" w:styleId="25">
    <w:name w:val="正文文本缩进 2 Char"/>
    <w:basedOn w:val="13"/>
    <w:link w:val="7"/>
    <w:qFormat/>
    <w:uiPriority w:val="99"/>
    <w:rPr>
      <w:rFonts w:ascii="Times New Roman" w:hAnsi="Times New Roman" w:eastAsia="宋体" w:cs="Times New Roman"/>
      <w:sz w:val="28"/>
      <w:szCs w:val="20"/>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EC528-7411-414B-9357-4007D5C1EB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5517</Words>
  <Characters>6317</Characters>
  <Lines>58</Lines>
  <Paragraphs>16</Paragraphs>
  <TotalTime>232</TotalTime>
  <ScaleCrop>false</ScaleCrop>
  <LinksUpToDate>false</LinksUpToDate>
  <CharactersWithSpaces>7358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Administrator</cp:lastModifiedBy>
  <dcterms:modified xsi:type="dcterms:W3CDTF">2023-09-18T13:10:21Z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1007214BE1B9443C9E9B3BF73512805D_12</vt:lpwstr>
  </property>
</Properties>
</file>